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10ADF">
      <w:pPr>
        <w:widowControl/>
        <w:jc w:val="left"/>
        <w:rPr>
          <w:rFonts w:ascii="黑体" w:hAnsi="黑体" w:eastAsia="黑体"/>
          <w:sz w:val="32"/>
          <w:szCs w:val="32"/>
        </w:rPr>
      </w:pPr>
      <w:r>
        <w:rPr>
          <w:rFonts w:hint="eastAsia" w:ascii="黑体" w:hAnsi="黑体" w:eastAsia="黑体"/>
          <w:sz w:val="32"/>
          <w:szCs w:val="32"/>
        </w:rPr>
        <w:t>附件：</w:t>
      </w:r>
    </w:p>
    <w:p w14:paraId="53177D32">
      <w:pPr>
        <w:pStyle w:val="3"/>
        <w:ind w:firstLine="0"/>
        <w:jc w:val="center"/>
        <w:rPr>
          <w:b/>
          <w:sz w:val="36"/>
          <w:szCs w:val="36"/>
        </w:rPr>
      </w:pPr>
      <w:r>
        <w:rPr>
          <w:rFonts w:hint="eastAsia"/>
          <w:b/>
          <w:sz w:val="36"/>
          <w:szCs w:val="36"/>
        </w:rPr>
        <w:t>四平市贯彻落实国办发2022年政务公开工作要点任务清单</w:t>
      </w:r>
    </w:p>
    <w:tbl>
      <w:tblPr>
        <w:tblStyle w:val="9"/>
        <w:tblpPr w:leftFromText="180" w:rightFromText="180" w:vertAnchor="text" w:horzAnchor="page" w:tblpX="752" w:tblpY="617"/>
        <w:tblOverlap w:val="never"/>
        <w:tblW w:w="15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375"/>
        <w:gridCol w:w="3517"/>
        <w:gridCol w:w="1695"/>
        <w:gridCol w:w="4888"/>
        <w:gridCol w:w="1125"/>
        <w:gridCol w:w="1737"/>
      </w:tblGrid>
      <w:tr w14:paraId="7D7C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70" w:type="dxa"/>
            <w:vAlign w:val="center"/>
          </w:tcPr>
          <w:p w14:paraId="3C0CC3E4">
            <w:pPr>
              <w:pStyle w:val="3"/>
              <w:spacing w:line="240" w:lineRule="auto"/>
              <w:ind w:firstLine="0"/>
              <w:jc w:val="center"/>
              <w:rPr>
                <w:rFonts w:ascii="黑体" w:hAnsi="黑体" w:eastAsia="黑体"/>
                <w:sz w:val="21"/>
                <w:szCs w:val="21"/>
              </w:rPr>
            </w:pPr>
            <w:r>
              <w:rPr>
                <w:rFonts w:hint="eastAsia" w:ascii="黑体" w:hAnsi="黑体" w:eastAsia="黑体"/>
                <w:sz w:val="21"/>
                <w:szCs w:val="21"/>
              </w:rPr>
              <w:t>目    标</w:t>
            </w:r>
          </w:p>
        </w:tc>
        <w:tc>
          <w:tcPr>
            <w:tcW w:w="1375" w:type="dxa"/>
            <w:vAlign w:val="center"/>
          </w:tcPr>
          <w:p w14:paraId="15C7830B">
            <w:pPr>
              <w:pStyle w:val="3"/>
              <w:spacing w:line="240" w:lineRule="auto"/>
              <w:ind w:firstLine="0"/>
              <w:jc w:val="center"/>
              <w:rPr>
                <w:rFonts w:ascii="黑体" w:hAnsi="黑体" w:eastAsia="黑体"/>
                <w:sz w:val="21"/>
                <w:szCs w:val="21"/>
              </w:rPr>
            </w:pPr>
            <w:r>
              <w:rPr>
                <w:rFonts w:hint="eastAsia" w:ascii="黑体" w:hAnsi="黑体" w:eastAsia="黑体"/>
                <w:sz w:val="21"/>
                <w:szCs w:val="21"/>
              </w:rPr>
              <w:t>主要任务</w:t>
            </w:r>
          </w:p>
        </w:tc>
        <w:tc>
          <w:tcPr>
            <w:tcW w:w="3517" w:type="dxa"/>
            <w:vAlign w:val="center"/>
          </w:tcPr>
          <w:p w14:paraId="293CF88E">
            <w:pPr>
              <w:pStyle w:val="3"/>
              <w:spacing w:line="240" w:lineRule="auto"/>
              <w:ind w:firstLine="0"/>
              <w:jc w:val="center"/>
              <w:rPr>
                <w:rFonts w:ascii="黑体" w:hAnsi="黑体" w:eastAsia="黑体"/>
                <w:sz w:val="21"/>
                <w:szCs w:val="21"/>
              </w:rPr>
            </w:pPr>
            <w:r>
              <w:rPr>
                <w:rFonts w:hint="eastAsia" w:ascii="黑体" w:hAnsi="黑体" w:eastAsia="黑体"/>
                <w:sz w:val="21"/>
                <w:szCs w:val="21"/>
              </w:rPr>
              <w:t>细化指标</w:t>
            </w:r>
          </w:p>
        </w:tc>
        <w:tc>
          <w:tcPr>
            <w:tcW w:w="1695" w:type="dxa"/>
            <w:vAlign w:val="center"/>
          </w:tcPr>
          <w:p w14:paraId="0DF6998C">
            <w:pPr>
              <w:pStyle w:val="3"/>
              <w:spacing w:line="240" w:lineRule="auto"/>
              <w:ind w:firstLine="0"/>
              <w:jc w:val="center"/>
              <w:rPr>
                <w:rFonts w:ascii="黑体" w:hAnsi="黑体" w:eastAsia="黑体"/>
                <w:sz w:val="21"/>
                <w:szCs w:val="21"/>
              </w:rPr>
            </w:pPr>
            <w:r>
              <w:rPr>
                <w:rFonts w:hint="eastAsia" w:ascii="黑体" w:hAnsi="黑体" w:eastAsia="黑体"/>
                <w:sz w:val="21"/>
                <w:szCs w:val="21"/>
              </w:rPr>
              <w:t>责任单位</w:t>
            </w:r>
          </w:p>
        </w:tc>
        <w:tc>
          <w:tcPr>
            <w:tcW w:w="4888" w:type="dxa"/>
            <w:vAlign w:val="center"/>
          </w:tcPr>
          <w:p w14:paraId="6717A7B7">
            <w:pPr>
              <w:pStyle w:val="3"/>
              <w:spacing w:line="240" w:lineRule="auto"/>
              <w:ind w:firstLine="0"/>
              <w:jc w:val="center"/>
              <w:rPr>
                <w:rFonts w:ascii="黑体" w:hAnsi="黑体" w:eastAsia="黑体"/>
                <w:sz w:val="21"/>
                <w:szCs w:val="21"/>
              </w:rPr>
            </w:pPr>
            <w:r>
              <w:rPr>
                <w:rFonts w:hint="eastAsia" w:ascii="黑体" w:hAnsi="黑体" w:eastAsia="黑体"/>
                <w:sz w:val="21"/>
                <w:szCs w:val="21"/>
              </w:rPr>
              <w:t>工作措施</w:t>
            </w:r>
          </w:p>
        </w:tc>
        <w:tc>
          <w:tcPr>
            <w:tcW w:w="1125" w:type="dxa"/>
            <w:vAlign w:val="center"/>
          </w:tcPr>
          <w:p w14:paraId="18F3AB67">
            <w:pPr>
              <w:pStyle w:val="3"/>
              <w:spacing w:line="240" w:lineRule="auto"/>
              <w:ind w:firstLine="0"/>
              <w:jc w:val="center"/>
              <w:rPr>
                <w:rFonts w:ascii="黑体" w:hAnsi="黑体" w:eastAsia="黑体"/>
                <w:sz w:val="21"/>
                <w:szCs w:val="21"/>
              </w:rPr>
            </w:pPr>
            <w:r>
              <w:rPr>
                <w:rFonts w:hint="eastAsia" w:ascii="黑体" w:hAnsi="黑体" w:eastAsia="黑体"/>
                <w:sz w:val="21"/>
                <w:szCs w:val="21"/>
              </w:rPr>
              <w:t>完成时限</w:t>
            </w:r>
          </w:p>
        </w:tc>
        <w:tc>
          <w:tcPr>
            <w:tcW w:w="1737" w:type="dxa"/>
            <w:vAlign w:val="center"/>
          </w:tcPr>
          <w:p w14:paraId="4DB6D618">
            <w:pPr>
              <w:pStyle w:val="3"/>
              <w:spacing w:line="240" w:lineRule="auto"/>
              <w:ind w:firstLine="0"/>
              <w:jc w:val="center"/>
              <w:rPr>
                <w:rFonts w:ascii="黑体" w:hAnsi="黑体" w:eastAsia="黑体"/>
                <w:sz w:val="21"/>
                <w:szCs w:val="21"/>
              </w:rPr>
            </w:pPr>
            <w:r>
              <w:rPr>
                <w:rFonts w:hint="eastAsia" w:ascii="黑体" w:hAnsi="黑体" w:eastAsia="黑体"/>
                <w:sz w:val="21"/>
                <w:szCs w:val="21"/>
              </w:rPr>
              <w:t>可</w:t>
            </w:r>
            <w:r>
              <w:rPr>
                <w:rFonts w:hint="eastAsia" w:ascii="黑体" w:hAnsi="黑体" w:eastAsia="黑体"/>
                <w:sz w:val="21"/>
                <w:szCs w:val="21"/>
                <w:lang w:eastAsia="zh-CN"/>
              </w:rPr>
              <w:t>检视</w:t>
            </w:r>
            <w:r>
              <w:rPr>
                <w:rFonts w:hint="eastAsia" w:ascii="黑体" w:hAnsi="黑体" w:eastAsia="黑体"/>
                <w:sz w:val="21"/>
                <w:szCs w:val="21"/>
              </w:rPr>
              <w:t>成果</w:t>
            </w:r>
          </w:p>
        </w:tc>
      </w:tr>
      <w:tr w14:paraId="7F16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1170" w:type="dxa"/>
            <w:vMerge w:val="restart"/>
            <w:vAlign w:val="center"/>
          </w:tcPr>
          <w:p w14:paraId="568BDD74">
            <w:pPr>
              <w:pStyle w:val="3"/>
              <w:ind w:firstLine="0"/>
              <w:rPr>
                <w:rFonts w:hint="eastAsia" w:ascii="仿宋" w:hAnsi="仿宋" w:eastAsia="仿宋" w:cs="仿宋"/>
                <w:sz w:val="21"/>
                <w:szCs w:val="21"/>
              </w:rPr>
            </w:pPr>
            <w:r>
              <w:rPr>
                <w:rFonts w:hint="eastAsia" w:ascii="仿宋" w:hAnsi="仿宋" w:eastAsia="仿宋" w:cs="仿宋"/>
                <w:sz w:val="21"/>
                <w:szCs w:val="21"/>
              </w:rPr>
              <w:t>一、</w:t>
            </w:r>
            <w:r>
              <w:rPr>
                <w:rFonts w:hint="eastAsia" w:ascii="仿宋" w:hAnsi="仿宋" w:eastAsia="仿宋" w:cs="仿宋"/>
                <w:sz w:val="21"/>
                <w:szCs w:val="21"/>
                <w:lang w:eastAsia="zh-CN"/>
              </w:rPr>
              <w:t>提升政策和决策公开质量</w:t>
            </w:r>
          </w:p>
        </w:tc>
        <w:tc>
          <w:tcPr>
            <w:tcW w:w="1375" w:type="dxa"/>
            <w:vMerge w:val="restart"/>
            <w:vAlign w:val="center"/>
          </w:tcPr>
          <w:p w14:paraId="3E3ED6D9">
            <w:pPr>
              <w:pStyle w:val="3"/>
              <w:spacing w:line="240" w:lineRule="auto"/>
              <w:ind w:firstLine="0"/>
              <w:jc w:val="both"/>
              <w:rPr>
                <w:rFonts w:hint="eastAsia" w:ascii="仿宋" w:hAnsi="仿宋" w:eastAsia="仿宋" w:cs="仿宋"/>
                <w:sz w:val="21"/>
                <w:szCs w:val="21"/>
              </w:rPr>
            </w:pPr>
            <w:r>
              <w:rPr>
                <w:rFonts w:hint="eastAsia" w:ascii="仿宋" w:hAnsi="仿宋" w:eastAsia="仿宋" w:cs="仿宋"/>
                <w:sz w:val="21"/>
                <w:szCs w:val="21"/>
              </w:rPr>
              <w:t>（一）集中规范公开现行有效政府规章和规范性文件</w:t>
            </w:r>
          </w:p>
        </w:tc>
        <w:tc>
          <w:tcPr>
            <w:tcW w:w="3517" w:type="dxa"/>
            <w:vAlign w:val="center"/>
          </w:tcPr>
          <w:p w14:paraId="17616436">
            <w:pPr>
              <w:pStyle w:val="3"/>
              <w:spacing w:line="240" w:lineRule="auto"/>
              <w:ind w:firstLine="0"/>
              <w:rPr>
                <w:rFonts w:hint="eastAsia" w:ascii="仿宋" w:hAnsi="仿宋" w:eastAsia="仿宋" w:cs="仿宋"/>
                <w:sz w:val="21"/>
                <w:szCs w:val="21"/>
              </w:rPr>
            </w:pPr>
            <w:r>
              <w:rPr>
                <w:rFonts w:hint="eastAsia" w:ascii="仿宋" w:hAnsi="仿宋" w:eastAsia="仿宋" w:cs="仿宋"/>
                <w:sz w:val="21"/>
                <w:szCs w:val="21"/>
              </w:rPr>
              <w:t>1.落实</w:t>
            </w:r>
            <w:r>
              <w:rPr>
                <w:rFonts w:hint="eastAsia" w:ascii="仿宋" w:hAnsi="仿宋" w:eastAsia="仿宋" w:cs="仿宋"/>
                <w:sz w:val="21"/>
                <w:szCs w:val="21"/>
                <w:lang w:eastAsia="zh-CN"/>
              </w:rPr>
              <w:t>行政</w:t>
            </w:r>
            <w:r>
              <w:rPr>
                <w:rFonts w:hint="eastAsia" w:ascii="仿宋" w:hAnsi="仿宋" w:eastAsia="仿宋" w:cs="仿宋"/>
                <w:sz w:val="21"/>
                <w:szCs w:val="21"/>
              </w:rPr>
              <w:t>规范性文件统一登记、统一编号、统一发布的“三统一”制度，集中统一发布现行有效规章</w:t>
            </w:r>
            <w:r>
              <w:rPr>
                <w:rFonts w:hint="eastAsia" w:ascii="仿宋" w:hAnsi="仿宋" w:eastAsia="仿宋" w:cs="仿宋"/>
                <w:sz w:val="21"/>
                <w:szCs w:val="21"/>
                <w:lang w:eastAsia="zh-CN"/>
              </w:rPr>
              <w:t>和行政规范性文件</w:t>
            </w:r>
          </w:p>
        </w:tc>
        <w:tc>
          <w:tcPr>
            <w:tcW w:w="1695" w:type="dxa"/>
            <w:vMerge w:val="restart"/>
            <w:vAlign w:val="center"/>
          </w:tcPr>
          <w:p w14:paraId="4406460E">
            <w:pPr>
              <w:pStyle w:val="3"/>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sz w:val="21"/>
                <w:szCs w:val="21"/>
              </w:rPr>
            </w:pPr>
            <w:r>
              <w:rPr>
                <w:rFonts w:hint="eastAsia" w:ascii="仿宋" w:hAnsi="仿宋" w:eastAsia="仿宋" w:cs="仿宋"/>
                <w:sz w:val="21"/>
                <w:szCs w:val="21"/>
              </w:rPr>
              <w:t>牵头部门：市政府办公室、市司法局</w:t>
            </w:r>
          </w:p>
          <w:p w14:paraId="324B27E6">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配合部门：</w:t>
            </w:r>
            <w:r>
              <w:rPr>
                <w:rFonts w:hint="eastAsia" w:ascii="仿宋" w:hAnsi="仿宋" w:eastAsia="仿宋" w:cs="仿宋"/>
                <w:sz w:val="21"/>
                <w:szCs w:val="21"/>
                <w:lang w:eastAsia="zh-CN"/>
              </w:rPr>
              <w:t>市政府各部门</w:t>
            </w:r>
          </w:p>
          <w:p w14:paraId="3AFC6651">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sz w:val="21"/>
                <w:szCs w:val="21"/>
                <w:lang w:eastAsia="zh-CN"/>
              </w:rPr>
            </w:pPr>
          </w:p>
          <w:p w14:paraId="700AA1FE">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27DB7677">
            <w:pPr>
              <w:pStyle w:val="3"/>
              <w:numPr>
                <w:ilvl w:val="0"/>
                <w:numId w:val="1"/>
              </w:numPr>
              <w:spacing w:line="240" w:lineRule="auto"/>
              <w:ind w:firstLine="0"/>
              <w:rPr>
                <w:rFonts w:hint="eastAsia" w:ascii="仿宋" w:hAnsi="仿宋" w:eastAsia="仿宋" w:cs="仿宋"/>
                <w:sz w:val="21"/>
                <w:szCs w:val="21"/>
                <w:lang w:eastAsia="zh-CN"/>
              </w:rPr>
            </w:pPr>
            <w:r>
              <w:rPr>
                <w:rFonts w:hint="eastAsia" w:ascii="仿宋" w:hAnsi="仿宋" w:eastAsia="仿宋" w:cs="仿宋"/>
                <w:sz w:val="21"/>
                <w:szCs w:val="21"/>
                <w:lang w:eastAsia="zh-CN"/>
              </w:rPr>
              <w:t>在政府网站的政府信息公开专栏中集中公开并动态更新现行有效行政规范性文件</w:t>
            </w:r>
          </w:p>
          <w:p w14:paraId="0DAEB997">
            <w:pPr>
              <w:pStyle w:val="3"/>
              <w:numPr>
                <w:ilvl w:val="0"/>
                <w:numId w:val="0"/>
              </w:numPr>
              <w:spacing w:line="240" w:lineRule="auto"/>
              <w:rPr>
                <w:rFonts w:hint="eastAsia" w:ascii="仿宋" w:hAnsi="仿宋" w:eastAsia="仿宋" w:cs="仿宋"/>
                <w:sz w:val="21"/>
                <w:szCs w:val="21"/>
              </w:rPr>
            </w:pPr>
            <w:r>
              <w:rPr>
                <w:rFonts w:hint="eastAsia" w:ascii="仿宋" w:hAnsi="仿宋" w:eastAsia="仿宋" w:cs="仿宋"/>
                <w:sz w:val="21"/>
                <w:szCs w:val="21"/>
              </w:rPr>
              <w:t>（2）各地、各部门对照中国政府法制信息网行政法规库的国家正式版本，更新本机关网站上的行政法规文本；</w:t>
            </w:r>
          </w:p>
          <w:p w14:paraId="4747860A">
            <w:pPr>
              <w:pStyle w:val="3"/>
              <w:spacing w:line="240" w:lineRule="auto"/>
              <w:ind w:firstLine="0"/>
              <w:rPr>
                <w:rFonts w:hint="eastAsia" w:ascii="仿宋" w:hAnsi="仿宋" w:eastAsia="仿宋" w:cs="仿宋"/>
                <w:sz w:val="21"/>
                <w:szCs w:val="21"/>
              </w:rPr>
            </w:pPr>
            <w:r>
              <w:rPr>
                <w:rFonts w:hint="eastAsia" w:ascii="仿宋" w:hAnsi="仿宋" w:eastAsia="仿宋" w:cs="仿宋"/>
                <w:sz w:val="21"/>
                <w:szCs w:val="21"/>
              </w:rPr>
              <w:t>（3）梳理本级制发的规章，建立健全规章动态更新工作机制，稳步推进规章历史文本收录工作</w:t>
            </w:r>
          </w:p>
          <w:p w14:paraId="7BD6AC2C">
            <w:pPr>
              <w:pStyle w:val="3"/>
              <w:spacing w:line="240" w:lineRule="auto"/>
              <w:ind w:firstLine="0"/>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4</w:t>
            </w:r>
            <w:r>
              <w:rPr>
                <w:rFonts w:hint="eastAsia" w:ascii="仿宋" w:hAnsi="仿宋" w:eastAsia="仿宋" w:cs="仿宋"/>
                <w:sz w:val="21"/>
                <w:szCs w:val="21"/>
              </w:rPr>
              <w:t>）探索建立本地区、本系统统一的现行有效行政规范性文件库，并健全动态更新工作机制。县级政府及其部门结合实际情况有序推进</w:t>
            </w:r>
          </w:p>
        </w:tc>
        <w:tc>
          <w:tcPr>
            <w:tcW w:w="1125" w:type="dxa"/>
            <w:vMerge w:val="restart"/>
            <w:vAlign w:val="center"/>
          </w:tcPr>
          <w:p w14:paraId="3144885D">
            <w:pPr>
              <w:pStyle w:val="3"/>
              <w:ind w:firstLine="0"/>
              <w:jc w:val="center"/>
              <w:rPr>
                <w:rFonts w:hint="eastAsia" w:ascii="仿宋" w:hAnsi="仿宋" w:eastAsia="仿宋" w:cs="仿宋"/>
                <w:sz w:val="21"/>
                <w:szCs w:val="21"/>
              </w:rPr>
            </w:pPr>
            <w:r>
              <w:rPr>
                <w:rFonts w:hint="eastAsia" w:ascii="仿宋" w:hAnsi="仿宋" w:eastAsia="仿宋" w:cs="仿宋"/>
                <w:sz w:val="21"/>
                <w:szCs w:val="21"/>
              </w:rPr>
              <w:t xml:space="preserve">贯穿全年 </w:t>
            </w:r>
          </w:p>
        </w:tc>
        <w:tc>
          <w:tcPr>
            <w:tcW w:w="1737" w:type="dxa"/>
            <w:vMerge w:val="restart"/>
            <w:vAlign w:val="center"/>
          </w:tcPr>
          <w:p w14:paraId="590A1078">
            <w:pPr>
              <w:pStyle w:val="3"/>
              <w:spacing w:line="240" w:lineRule="auto"/>
              <w:ind w:firstLine="0"/>
              <w:jc w:val="left"/>
              <w:rPr>
                <w:rFonts w:hint="eastAsia" w:ascii="仿宋" w:hAnsi="仿宋" w:eastAsia="仿宋" w:cs="仿宋"/>
                <w:sz w:val="21"/>
                <w:szCs w:val="21"/>
                <w:lang w:eastAsia="zh-CN"/>
              </w:rPr>
            </w:pPr>
            <w:r>
              <w:rPr>
                <w:rFonts w:hint="eastAsia" w:ascii="仿宋" w:hAnsi="仿宋" w:eastAsia="仿宋" w:cs="仿宋"/>
                <w:sz w:val="21"/>
                <w:szCs w:val="21"/>
              </w:rPr>
              <w:t>在政府门户网站“政府信息公开”专栏中主题呈现</w:t>
            </w:r>
            <w:r>
              <w:rPr>
                <w:rFonts w:hint="eastAsia" w:ascii="仿宋" w:hAnsi="仿宋" w:eastAsia="仿宋" w:cs="仿宋"/>
                <w:sz w:val="21"/>
                <w:szCs w:val="21"/>
                <w:lang w:eastAsia="zh-CN"/>
              </w:rPr>
              <w:t>；</w:t>
            </w:r>
          </w:p>
          <w:p w14:paraId="7C55A17A">
            <w:pPr>
              <w:pStyle w:val="3"/>
              <w:spacing w:line="240" w:lineRule="auto"/>
              <w:ind w:firstLine="0"/>
              <w:jc w:val="left"/>
              <w:rPr>
                <w:rFonts w:hint="eastAsia" w:ascii="仿宋" w:hAnsi="仿宋" w:eastAsia="仿宋" w:cs="仿宋"/>
                <w:sz w:val="21"/>
                <w:szCs w:val="21"/>
              </w:rPr>
            </w:pPr>
            <w:r>
              <w:rPr>
                <w:rFonts w:hint="eastAsia" w:ascii="仿宋" w:hAnsi="仿宋" w:eastAsia="仿宋" w:cs="仿宋"/>
                <w:sz w:val="21"/>
                <w:szCs w:val="21"/>
              </w:rPr>
              <w:t>各部门网站同步主题发布</w:t>
            </w:r>
          </w:p>
        </w:tc>
      </w:tr>
      <w:tr w14:paraId="68D8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70" w:type="dxa"/>
            <w:vMerge w:val="continue"/>
            <w:vAlign w:val="center"/>
          </w:tcPr>
          <w:p w14:paraId="43C87B88">
            <w:pPr>
              <w:pStyle w:val="3"/>
              <w:ind w:firstLine="0"/>
              <w:jc w:val="center"/>
              <w:rPr>
                <w:rFonts w:hint="eastAsia" w:ascii="仿宋" w:hAnsi="仿宋" w:eastAsia="仿宋" w:cs="仿宋"/>
                <w:sz w:val="21"/>
                <w:szCs w:val="21"/>
              </w:rPr>
            </w:pPr>
          </w:p>
        </w:tc>
        <w:tc>
          <w:tcPr>
            <w:tcW w:w="1375" w:type="dxa"/>
            <w:vMerge w:val="continue"/>
            <w:vAlign w:val="center"/>
          </w:tcPr>
          <w:p w14:paraId="74D7F753">
            <w:pPr>
              <w:pStyle w:val="3"/>
              <w:ind w:firstLine="0"/>
              <w:jc w:val="center"/>
              <w:rPr>
                <w:rFonts w:hint="eastAsia" w:ascii="仿宋" w:hAnsi="仿宋" w:eastAsia="仿宋" w:cs="仿宋"/>
                <w:sz w:val="21"/>
                <w:szCs w:val="21"/>
              </w:rPr>
            </w:pPr>
          </w:p>
        </w:tc>
        <w:tc>
          <w:tcPr>
            <w:tcW w:w="3517" w:type="dxa"/>
            <w:vAlign w:val="center"/>
          </w:tcPr>
          <w:p w14:paraId="20316845">
            <w:pPr>
              <w:pStyle w:val="3"/>
              <w:spacing w:line="240" w:lineRule="auto"/>
              <w:ind w:firstLine="0"/>
              <w:jc w:val="left"/>
              <w:rPr>
                <w:rFonts w:hint="eastAsia" w:ascii="仿宋" w:hAnsi="仿宋" w:eastAsia="仿宋" w:cs="仿宋"/>
                <w:sz w:val="21"/>
                <w:szCs w:val="21"/>
              </w:rPr>
            </w:pPr>
            <w:r>
              <w:rPr>
                <w:rFonts w:hint="eastAsia" w:ascii="仿宋" w:hAnsi="仿宋" w:eastAsia="仿宋" w:cs="仿宋"/>
                <w:sz w:val="21"/>
                <w:szCs w:val="21"/>
              </w:rPr>
              <w:t>2.根据立、改、废等情况做好动态调整更新</w:t>
            </w:r>
          </w:p>
        </w:tc>
        <w:tc>
          <w:tcPr>
            <w:tcW w:w="1695" w:type="dxa"/>
            <w:vMerge w:val="continue"/>
            <w:vAlign w:val="center"/>
          </w:tcPr>
          <w:p w14:paraId="32B31632">
            <w:pPr>
              <w:pStyle w:val="3"/>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sz w:val="21"/>
                <w:szCs w:val="21"/>
              </w:rPr>
            </w:pPr>
          </w:p>
        </w:tc>
        <w:tc>
          <w:tcPr>
            <w:tcW w:w="4888" w:type="dxa"/>
            <w:vMerge w:val="continue"/>
            <w:vAlign w:val="center"/>
          </w:tcPr>
          <w:p w14:paraId="4F5F7017">
            <w:pPr>
              <w:pStyle w:val="3"/>
              <w:spacing w:line="240" w:lineRule="auto"/>
              <w:ind w:firstLine="0"/>
              <w:rPr>
                <w:rFonts w:hint="eastAsia" w:ascii="仿宋" w:hAnsi="仿宋" w:eastAsia="仿宋" w:cs="仿宋"/>
                <w:sz w:val="21"/>
                <w:szCs w:val="21"/>
              </w:rPr>
            </w:pPr>
          </w:p>
        </w:tc>
        <w:tc>
          <w:tcPr>
            <w:tcW w:w="1125" w:type="dxa"/>
            <w:vMerge w:val="continue"/>
            <w:vAlign w:val="center"/>
          </w:tcPr>
          <w:p w14:paraId="0893D50C">
            <w:pPr>
              <w:pStyle w:val="3"/>
              <w:ind w:firstLine="0"/>
              <w:jc w:val="center"/>
              <w:rPr>
                <w:rFonts w:hint="eastAsia" w:ascii="仿宋" w:hAnsi="仿宋" w:eastAsia="仿宋" w:cs="仿宋"/>
                <w:sz w:val="21"/>
                <w:szCs w:val="21"/>
              </w:rPr>
            </w:pPr>
          </w:p>
        </w:tc>
        <w:tc>
          <w:tcPr>
            <w:tcW w:w="1737" w:type="dxa"/>
            <w:vMerge w:val="continue"/>
            <w:vAlign w:val="center"/>
          </w:tcPr>
          <w:p w14:paraId="7AF249DF">
            <w:pPr>
              <w:pStyle w:val="3"/>
              <w:ind w:firstLine="0"/>
              <w:jc w:val="center"/>
              <w:rPr>
                <w:rFonts w:hint="eastAsia" w:ascii="仿宋" w:hAnsi="仿宋" w:eastAsia="仿宋" w:cs="仿宋"/>
                <w:sz w:val="21"/>
                <w:szCs w:val="21"/>
              </w:rPr>
            </w:pPr>
          </w:p>
        </w:tc>
      </w:tr>
      <w:tr w14:paraId="1D3D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170" w:type="dxa"/>
            <w:vMerge w:val="continue"/>
            <w:vAlign w:val="center"/>
          </w:tcPr>
          <w:p w14:paraId="267F757A">
            <w:pPr>
              <w:pStyle w:val="3"/>
              <w:ind w:firstLine="0"/>
              <w:jc w:val="center"/>
              <w:rPr>
                <w:rFonts w:hint="eastAsia" w:ascii="仿宋" w:hAnsi="仿宋" w:eastAsia="仿宋" w:cs="仿宋"/>
                <w:sz w:val="21"/>
                <w:szCs w:val="21"/>
              </w:rPr>
            </w:pPr>
          </w:p>
        </w:tc>
        <w:tc>
          <w:tcPr>
            <w:tcW w:w="1375" w:type="dxa"/>
            <w:vAlign w:val="center"/>
          </w:tcPr>
          <w:p w14:paraId="554B74B4">
            <w:pPr>
              <w:pStyle w:val="3"/>
              <w:spacing w:line="240" w:lineRule="auto"/>
              <w:ind w:firstLine="0"/>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二</w:t>
            </w:r>
            <w:r>
              <w:rPr>
                <w:rFonts w:hint="eastAsia" w:ascii="仿宋" w:hAnsi="仿宋" w:eastAsia="仿宋" w:cs="仿宋"/>
                <w:sz w:val="21"/>
                <w:szCs w:val="21"/>
              </w:rPr>
              <w:t>）集中公开政策</w:t>
            </w:r>
            <w:r>
              <w:rPr>
                <w:rFonts w:hint="eastAsia" w:ascii="仿宋" w:hAnsi="仿宋" w:eastAsia="仿宋" w:cs="仿宋"/>
                <w:sz w:val="21"/>
                <w:szCs w:val="21"/>
                <w:lang w:eastAsia="zh-CN"/>
              </w:rPr>
              <w:t>成果运用</w:t>
            </w:r>
          </w:p>
        </w:tc>
        <w:tc>
          <w:tcPr>
            <w:tcW w:w="3517" w:type="dxa"/>
            <w:vAlign w:val="center"/>
          </w:tcPr>
          <w:p w14:paraId="793F58D7">
            <w:pPr>
              <w:pStyle w:val="3"/>
              <w:spacing w:line="240" w:lineRule="auto"/>
              <w:ind w:firstLine="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.集中、动态更新现行有效制度体系，</w:t>
            </w:r>
            <w:r>
              <w:rPr>
                <w:rFonts w:hint="eastAsia" w:ascii="仿宋" w:hAnsi="仿宋" w:eastAsia="仿宋" w:cs="仿宋"/>
                <w:sz w:val="21"/>
                <w:szCs w:val="21"/>
                <w:lang w:eastAsia="zh-CN"/>
              </w:rPr>
              <w:t>为行政机关开展政务服务事项、编制各类权责清单提供基本依据，</w:t>
            </w:r>
            <w:r>
              <w:rPr>
                <w:rFonts w:hint="eastAsia" w:ascii="仿宋" w:hAnsi="仿宋" w:eastAsia="仿宋" w:cs="仿宋"/>
                <w:sz w:val="21"/>
                <w:szCs w:val="21"/>
              </w:rPr>
              <w:t>便于社会公众全面了解各项制度规定，保障和监督行政机关有效实施行政管理</w:t>
            </w:r>
          </w:p>
        </w:tc>
        <w:tc>
          <w:tcPr>
            <w:tcW w:w="1695" w:type="dxa"/>
            <w:vAlign w:val="center"/>
          </w:tcPr>
          <w:p w14:paraId="49074C42">
            <w:pPr>
              <w:pStyle w:val="3"/>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sz w:val="21"/>
                <w:szCs w:val="21"/>
                <w:lang w:eastAsia="zh-CN"/>
              </w:rPr>
            </w:pPr>
            <w:r>
              <w:rPr>
                <w:rFonts w:hint="eastAsia" w:ascii="仿宋" w:hAnsi="仿宋" w:eastAsia="仿宋" w:cs="仿宋"/>
                <w:sz w:val="21"/>
                <w:szCs w:val="21"/>
              </w:rPr>
              <w:t>牵头部门：市政府办公室</w:t>
            </w:r>
            <w:r>
              <w:rPr>
                <w:rFonts w:hint="eastAsia" w:ascii="仿宋" w:hAnsi="仿宋" w:eastAsia="仿宋" w:cs="仿宋"/>
                <w:sz w:val="21"/>
                <w:szCs w:val="21"/>
                <w:lang w:eastAsia="zh-CN"/>
              </w:rPr>
              <w:t>，网站保障</w:t>
            </w:r>
          </w:p>
          <w:p w14:paraId="14819CFF">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配合部门：</w:t>
            </w:r>
            <w:r>
              <w:rPr>
                <w:rFonts w:hint="eastAsia" w:ascii="仿宋" w:hAnsi="仿宋" w:eastAsia="仿宋" w:cs="仿宋"/>
                <w:sz w:val="21"/>
                <w:szCs w:val="21"/>
                <w:lang w:eastAsia="zh-CN"/>
              </w:rPr>
              <w:t>市政府各部门</w:t>
            </w:r>
          </w:p>
          <w:p w14:paraId="1385182D">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sz w:val="21"/>
                <w:szCs w:val="21"/>
                <w:lang w:eastAsia="zh-CN"/>
              </w:rPr>
            </w:pPr>
          </w:p>
          <w:p w14:paraId="65F758BB">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sz w:val="21"/>
                <w:szCs w:val="21"/>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Align w:val="center"/>
          </w:tcPr>
          <w:p w14:paraId="214B715A">
            <w:pPr>
              <w:pStyle w:val="3"/>
              <w:spacing w:line="240" w:lineRule="auto"/>
              <w:ind w:firstLine="0"/>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）政策性文件集中在“政府信息公开专栏”公开；</w:t>
            </w:r>
          </w:p>
          <w:p w14:paraId="64792F22">
            <w:pPr>
              <w:pStyle w:val="3"/>
              <w:spacing w:line="240" w:lineRule="auto"/>
              <w:ind w:firstLine="0"/>
              <w:jc w:val="left"/>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）梳理盘点政策要点，动态更新“四平市惠企惠民政策手册”专栏</w:t>
            </w:r>
            <w:r>
              <w:rPr>
                <w:rFonts w:hint="eastAsia" w:ascii="仿宋" w:hAnsi="仿宋" w:eastAsia="仿宋" w:cs="仿宋"/>
                <w:sz w:val="21"/>
                <w:szCs w:val="21"/>
                <w:lang w:val="en-US" w:eastAsia="zh-CN"/>
              </w:rPr>
              <w:t>;</w:t>
            </w:r>
          </w:p>
          <w:p w14:paraId="0A4B5B68">
            <w:pPr>
              <w:pStyle w:val="3"/>
              <w:spacing w:line="240" w:lineRule="auto"/>
              <w:ind w:firstLine="0"/>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7</w:t>
            </w:r>
            <w:r>
              <w:rPr>
                <w:rFonts w:hint="eastAsia" w:ascii="仿宋" w:hAnsi="仿宋" w:eastAsia="仿宋" w:cs="仿宋"/>
                <w:sz w:val="21"/>
                <w:szCs w:val="21"/>
              </w:rPr>
              <w:t>）疫情防控政策和助力复工复产政策集中在“疫情发布”重要政策栏目下公开</w:t>
            </w:r>
          </w:p>
        </w:tc>
        <w:tc>
          <w:tcPr>
            <w:tcW w:w="1125" w:type="dxa"/>
            <w:vAlign w:val="center"/>
          </w:tcPr>
          <w:p w14:paraId="1AE52C13">
            <w:pPr>
              <w:pStyle w:val="3"/>
              <w:ind w:firstLine="0"/>
              <w:jc w:val="left"/>
              <w:rPr>
                <w:rFonts w:hint="eastAsia" w:ascii="仿宋" w:hAnsi="仿宋" w:eastAsia="仿宋" w:cs="仿宋"/>
                <w:sz w:val="21"/>
                <w:szCs w:val="21"/>
              </w:rPr>
            </w:pPr>
            <w:r>
              <w:rPr>
                <w:rFonts w:hint="eastAsia" w:ascii="仿宋" w:hAnsi="仿宋" w:eastAsia="仿宋" w:cs="仿宋"/>
                <w:sz w:val="21"/>
                <w:szCs w:val="21"/>
              </w:rPr>
              <w:t>贯穿全年</w:t>
            </w:r>
          </w:p>
        </w:tc>
        <w:tc>
          <w:tcPr>
            <w:tcW w:w="1737" w:type="dxa"/>
            <w:vAlign w:val="center"/>
          </w:tcPr>
          <w:p w14:paraId="3AE5F1F4">
            <w:pPr>
              <w:pStyle w:val="3"/>
              <w:spacing w:line="240" w:lineRule="auto"/>
              <w:ind w:firstLine="0"/>
              <w:jc w:val="left"/>
              <w:rPr>
                <w:rFonts w:hint="eastAsia" w:ascii="仿宋" w:hAnsi="仿宋" w:eastAsia="仿宋" w:cs="仿宋"/>
                <w:sz w:val="21"/>
                <w:szCs w:val="21"/>
              </w:rPr>
            </w:pPr>
            <w:r>
              <w:rPr>
                <w:rFonts w:hint="eastAsia" w:ascii="仿宋" w:hAnsi="仿宋" w:eastAsia="仿宋" w:cs="仿宋"/>
                <w:sz w:val="21"/>
                <w:szCs w:val="21"/>
              </w:rPr>
              <w:t>在政府信息公开专栏和惠企惠民政策手册、疫情防控专栏中呈现</w:t>
            </w:r>
          </w:p>
        </w:tc>
      </w:tr>
      <w:tr w14:paraId="4EBB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Align w:val="bottom"/>
          </w:tcPr>
          <w:p w14:paraId="103E50AE">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目    标</w:t>
            </w:r>
          </w:p>
        </w:tc>
        <w:tc>
          <w:tcPr>
            <w:tcW w:w="1375" w:type="dxa"/>
            <w:vAlign w:val="bottom"/>
          </w:tcPr>
          <w:p w14:paraId="5BAE63B1">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主要任务</w:t>
            </w:r>
          </w:p>
        </w:tc>
        <w:tc>
          <w:tcPr>
            <w:tcW w:w="3517" w:type="dxa"/>
            <w:vAlign w:val="bottom"/>
          </w:tcPr>
          <w:p w14:paraId="05574965">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细化指标</w:t>
            </w:r>
          </w:p>
        </w:tc>
        <w:tc>
          <w:tcPr>
            <w:tcW w:w="1695" w:type="dxa"/>
            <w:vAlign w:val="bottom"/>
          </w:tcPr>
          <w:p w14:paraId="5818FF41">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责任单位</w:t>
            </w:r>
          </w:p>
        </w:tc>
        <w:tc>
          <w:tcPr>
            <w:tcW w:w="4888" w:type="dxa"/>
            <w:vAlign w:val="bottom"/>
          </w:tcPr>
          <w:p w14:paraId="4E479510">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工作措施</w:t>
            </w:r>
          </w:p>
        </w:tc>
        <w:tc>
          <w:tcPr>
            <w:tcW w:w="1125" w:type="dxa"/>
            <w:vAlign w:val="bottom"/>
          </w:tcPr>
          <w:p w14:paraId="3D898B7F">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完成时限</w:t>
            </w:r>
          </w:p>
        </w:tc>
        <w:tc>
          <w:tcPr>
            <w:tcW w:w="1737" w:type="dxa"/>
            <w:vAlign w:val="bottom"/>
          </w:tcPr>
          <w:p w14:paraId="3FDE1AAA">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6620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Merge w:val="restart"/>
            <w:vAlign w:val="center"/>
          </w:tcPr>
          <w:p w14:paraId="5487EEE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黑体" w:hAnsi="黑体" w:eastAsia="黑体"/>
                <w:szCs w:val="21"/>
              </w:rPr>
            </w:pPr>
            <w:r>
              <w:rPr>
                <w:rFonts w:hint="eastAsia" w:ascii="仿宋" w:hAnsi="仿宋" w:eastAsia="仿宋" w:cs="仿宋"/>
                <w:sz w:val="21"/>
                <w:szCs w:val="21"/>
              </w:rPr>
              <w:t>一、</w:t>
            </w:r>
            <w:r>
              <w:rPr>
                <w:rFonts w:hint="eastAsia" w:ascii="仿宋" w:hAnsi="仿宋" w:eastAsia="仿宋" w:cs="仿宋"/>
                <w:sz w:val="21"/>
                <w:szCs w:val="21"/>
                <w:lang w:eastAsia="zh-CN"/>
              </w:rPr>
              <w:t>提升政策（决策）公开质量</w:t>
            </w:r>
          </w:p>
        </w:tc>
        <w:tc>
          <w:tcPr>
            <w:tcW w:w="1375" w:type="dxa"/>
            <w:vMerge w:val="restart"/>
            <w:vAlign w:val="center"/>
          </w:tcPr>
          <w:p w14:paraId="4A3C232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（三）提升政策解读质量</w:t>
            </w:r>
          </w:p>
        </w:tc>
        <w:tc>
          <w:tcPr>
            <w:tcW w:w="3517" w:type="dxa"/>
            <w:vAlign w:val="bottom"/>
          </w:tcPr>
          <w:p w14:paraId="1FE1FE6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4.凡是面向社会公开征求意见的决策草案和面向企业和公众主动公开的政策性文件，均要开展解读</w:t>
            </w:r>
          </w:p>
        </w:tc>
        <w:tc>
          <w:tcPr>
            <w:tcW w:w="1695" w:type="dxa"/>
            <w:vMerge w:val="restart"/>
            <w:vAlign w:val="center"/>
          </w:tcPr>
          <w:p w14:paraId="29DE3085">
            <w:pPr>
              <w:pStyle w:val="3"/>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牵头部门：市政府办公室、市司法局</w:t>
            </w:r>
          </w:p>
          <w:p w14:paraId="6ECC3B5B">
            <w:pPr>
              <w:pStyle w:val="3"/>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配合部门：市政数局提供网站平台保障</w:t>
            </w:r>
          </w:p>
          <w:p w14:paraId="66066D6A">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落实部门：市政府各部门</w:t>
            </w:r>
          </w:p>
          <w:p w14:paraId="02BBCC19">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kern w:val="2"/>
                <w:sz w:val="21"/>
                <w:szCs w:val="21"/>
                <w:lang w:val="en-US" w:eastAsia="zh-CN" w:bidi="ar-SA"/>
              </w:rPr>
            </w:pPr>
          </w:p>
          <w:p w14:paraId="225FC4F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县（市）区政府</w:t>
            </w:r>
          </w:p>
        </w:tc>
        <w:tc>
          <w:tcPr>
            <w:tcW w:w="4888" w:type="dxa"/>
            <w:vMerge w:val="restart"/>
            <w:vAlign w:val="center"/>
          </w:tcPr>
          <w:p w14:paraId="51A663A3">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（8）以市政府办公室或市政府名义出台的政策，文件及解读材料质量由市政府办公室进行把关，并落实公开要求；</w:t>
            </w:r>
          </w:p>
          <w:p w14:paraId="373416B9">
            <w:pPr>
              <w:keepNext w:val="0"/>
              <w:keepLines w:val="0"/>
              <w:pageBreakBefore w:val="0"/>
              <w:widowControl w:val="0"/>
              <w:numPr>
                <w:ilvl w:val="0"/>
                <w:numId w:val="0"/>
              </w:numPr>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（9）以部门名义出台的政策，解读材料质量由部门负责，并落实公开要求；</w:t>
            </w:r>
          </w:p>
          <w:p w14:paraId="01084ABE">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（10）解读材料要与政策性文件同步公开；</w:t>
            </w:r>
          </w:p>
          <w:p w14:paraId="682C3F88">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（11）根据解读方式确定公开发布渠道，需要市政府门户网站保障的，履行网站信息报送手续，由市政数局提供平台保障；</w:t>
            </w:r>
          </w:p>
          <w:p w14:paraId="01F84BE9">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（12）政策解读质量及发布，纳入市政府信息公开考核重点内容</w:t>
            </w:r>
          </w:p>
        </w:tc>
        <w:tc>
          <w:tcPr>
            <w:tcW w:w="1125" w:type="dxa"/>
            <w:vMerge w:val="restart"/>
            <w:vAlign w:val="center"/>
          </w:tcPr>
          <w:p w14:paraId="423615F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贯穿全年</w:t>
            </w:r>
          </w:p>
        </w:tc>
        <w:tc>
          <w:tcPr>
            <w:tcW w:w="1737" w:type="dxa"/>
            <w:vMerge w:val="restart"/>
            <w:vAlign w:val="center"/>
          </w:tcPr>
          <w:p w14:paraId="7EE0CB7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在政府信息公开专栏和市政府门户网站“政策解读”栏目中同步呈现</w:t>
            </w:r>
          </w:p>
        </w:tc>
      </w:tr>
      <w:tr w14:paraId="286A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Merge w:val="continue"/>
            <w:vAlign w:val="bottom"/>
          </w:tcPr>
          <w:p w14:paraId="5B3061E7">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375" w:type="dxa"/>
            <w:vMerge w:val="continue"/>
            <w:vAlign w:val="bottom"/>
          </w:tcPr>
          <w:p w14:paraId="36DCEFA0">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仿宋" w:hAnsi="仿宋" w:eastAsia="仿宋" w:cs="仿宋"/>
                <w:kern w:val="2"/>
                <w:sz w:val="21"/>
                <w:szCs w:val="21"/>
                <w:lang w:val="en-US" w:eastAsia="zh-CN" w:bidi="ar-SA"/>
              </w:rPr>
            </w:pPr>
          </w:p>
        </w:tc>
        <w:tc>
          <w:tcPr>
            <w:tcW w:w="3517" w:type="dxa"/>
            <w:vAlign w:val="bottom"/>
          </w:tcPr>
          <w:p w14:paraId="5C524B9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5.文件起草单位通过多种方式收集、提炼社会公众对政策的普遍关注点和疑虑点，针对性地确定解读重点，强化解读质量，精准传递政策意图</w:t>
            </w:r>
          </w:p>
        </w:tc>
        <w:tc>
          <w:tcPr>
            <w:tcW w:w="1695" w:type="dxa"/>
            <w:vMerge w:val="continue"/>
            <w:vAlign w:val="center"/>
          </w:tcPr>
          <w:p w14:paraId="6930681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4888" w:type="dxa"/>
            <w:vMerge w:val="continue"/>
            <w:vAlign w:val="center"/>
          </w:tcPr>
          <w:p w14:paraId="698C91B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1125" w:type="dxa"/>
            <w:vMerge w:val="continue"/>
            <w:vAlign w:val="center"/>
          </w:tcPr>
          <w:p w14:paraId="35045BF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1737" w:type="dxa"/>
            <w:vMerge w:val="continue"/>
            <w:vAlign w:val="center"/>
          </w:tcPr>
          <w:p w14:paraId="5E4E62E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r>
      <w:tr w14:paraId="74CA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Merge w:val="continue"/>
            <w:vAlign w:val="bottom"/>
          </w:tcPr>
          <w:p w14:paraId="0C5EBA01">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375" w:type="dxa"/>
            <w:vMerge w:val="continue"/>
            <w:vAlign w:val="bottom"/>
          </w:tcPr>
          <w:p w14:paraId="026030AA">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仿宋" w:hAnsi="仿宋" w:eastAsia="仿宋" w:cs="仿宋"/>
                <w:kern w:val="2"/>
                <w:sz w:val="21"/>
                <w:szCs w:val="21"/>
                <w:lang w:val="en-US" w:eastAsia="zh-CN" w:bidi="ar-SA"/>
              </w:rPr>
            </w:pPr>
          </w:p>
        </w:tc>
        <w:tc>
          <w:tcPr>
            <w:tcW w:w="3517" w:type="dxa"/>
            <w:vAlign w:val="bottom"/>
          </w:tcPr>
          <w:p w14:paraId="0C747F1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6.合理确定解读方式（至少有两种），综合选用文字解读、图示图解、视频动漫、新闻发布会、专家访谈、场景演示、短视频、集中政策宣讲等解读形式，提高政策知晓度和到达率</w:t>
            </w:r>
          </w:p>
        </w:tc>
        <w:tc>
          <w:tcPr>
            <w:tcW w:w="1695" w:type="dxa"/>
            <w:vMerge w:val="continue"/>
            <w:vAlign w:val="center"/>
          </w:tcPr>
          <w:p w14:paraId="5B71D25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4888" w:type="dxa"/>
            <w:vMerge w:val="continue"/>
            <w:vAlign w:val="center"/>
          </w:tcPr>
          <w:p w14:paraId="6EEAFD5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1125" w:type="dxa"/>
            <w:vMerge w:val="continue"/>
            <w:vAlign w:val="center"/>
          </w:tcPr>
          <w:p w14:paraId="3C5594A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1737" w:type="dxa"/>
            <w:vMerge w:val="continue"/>
            <w:vAlign w:val="center"/>
          </w:tcPr>
          <w:p w14:paraId="727DE0B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r>
      <w:tr w14:paraId="25BC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70" w:type="dxa"/>
            <w:vMerge w:val="continue"/>
            <w:vAlign w:val="bottom"/>
          </w:tcPr>
          <w:p w14:paraId="0345F33C">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375" w:type="dxa"/>
            <w:vMerge w:val="restart"/>
            <w:vAlign w:val="center"/>
          </w:tcPr>
          <w:p w14:paraId="2EAC569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黑体" w:hAnsi="黑体" w:eastAsia="黑体"/>
                <w:szCs w:val="21"/>
                <w:lang w:eastAsia="zh-CN"/>
              </w:rPr>
            </w:pPr>
            <w:r>
              <w:rPr>
                <w:rFonts w:hint="eastAsia" w:ascii="仿宋" w:hAnsi="仿宋" w:eastAsia="仿宋" w:cs="仿宋"/>
                <w:kern w:val="2"/>
                <w:sz w:val="21"/>
                <w:szCs w:val="21"/>
                <w:lang w:val="en-US" w:eastAsia="zh-CN" w:bidi="ar-SA"/>
              </w:rPr>
              <w:t>（五）强化行政决策公开透明</w:t>
            </w:r>
          </w:p>
        </w:tc>
        <w:tc>
          <w:tcPr>
            <w:tcW w:w="3517" w:type="dxa"/>
            <w:vAlign w:val="center"/>
          </w:tcPr>
          <w:p w14:paraId="203A4E6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7.及时编制、发布年度重大行政决策事项目录</w:t>
            </w:r>
          </w:p>
        </w:tc>
        <w:tc>
          <w:tcPr>
            <w:tcW w:w="1695" w:type="dxa"/>
            <w:vMerge w:val="restart"/>
            <w:vAlign w:val="center"/>
          </w:tcPr>
          <w:p w14:paraId="1BD71944">
            <w:pPr>
              <w:pStyle w:val="3"/>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sz w:val="21"/>
                <w:szCs w:val="21"/>
                <w:lang w:eastAsia="zh-CN"/>
              </w:rPr>
            </w:pPr>
            <w:r>
              <w:rPr>
                <w:rFonts w:hint="eastAsia" w:ascii="仿宋" w:hAnsi="仿宋" w:eastAsia="仿宋" w:cs="仿宋"/>
                <w:sz w:val="21"/>
                <w:szCs w:val="21"/>
              </w:rPr>
              <w:t>牵头部门：市政府办公室</w:t>
            </w:r>
            <w:r>
              <w:rPr>
                <w:rFonts w:hint="eastAsia" w:ascii="仿宋" w:hAnsi="仿宋" w:eastAsia="仿宋" w:cs="仿宋"/>
                <w:sz w:val="21"/>
                <w:szCs w:val="21"/>
                <w:lang w:eastAsia="zh-CN"/>
              </w:rPr>
              <w:t>、市司法局</w:t>
            </w:r>
          </w:p>
          <w:p w14:paraId="41E8AF1A">
            <w:pPr>
              <w:pStyle w:val="3"/>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配合部门：市政数局提供网站平台保障</w:t>
            </w:r>
          </w:p>
          <w:p w14:paraId="0757CFC7">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落实</w:t>
            </w:r>
            <w:r>
              <w:rPr>
                <w:rFonts w:hint="eastAsia" w:ascii="仿宋" w:hAnsi="仿宋" w:eastAsia="仿宋" w:cs="仿宋"/>
                <w:sz w:val="21"/>
                <w:szCs w:val="21"/>
              </w:rPr>
              <w:t>部门：</w:t>
            </w:r>
            <w:r>
              <w:rPr>
                <w:rFonts w:hint="eastAsia" w:ascii="仿宋" w:hAnsi="仿宋" w:eastAsia="仿宋" w:cs="仿宋"/>
                <w:sz w:val="21"/>
                <w:szCs w:val="21"/>
                <w:lang w:eastAsia="zh-CN"/>
              </w:rPr>
              <w:t>市政府各部门</w:t>
            </w:r>
          </w:p>
          <w:p w14:paraId="002BFC71">
            <w:pPr>
              <w:pStyle w:val="3"/>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sz w:val="21"/>
                <w:szCs w:val="21"/>
                <w:lang w:eastAsia="zh-CN"/>
              </w:rPr>
            </w:pPr>
          </w:p>
          <w:p w14:paraId="5EF259C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3953B76C">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（13）市政府办公室逐年编制发布市级重大行政决策事项目录清单；</w:t>
            </w:r>
          </w:p>
          <w:p w14:paraId="529B231D">
            <w:pPr>
              <w:keepNext w:val="0"/>
              <w:keepLines w:val="0"/>
              <w:pageBreakBefore w:val="0"/>
              <w:widowControl w:val="0"/>
              <w:numPr>
                <w:ilvl w:val="0"/>
                <w:numId w:val="0"/>
              </w:numPr>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r>
              <w:rPr>
                <w:rFonts w:hint="eastAsia" w:ascii="仿宋" w:hAnsi="仿宋" w:eastAsia="仿宋" w:cs="仿宋"/>
                <w:kern w:val="2"/>
                <w:sz w:val="21"/>
                <w:szCs w:val="22"/>
                <w:lang w:val="en-US" w:eastAsia="zh-CN" w:bidi="ar-SA"/>
              </w:rPr>
              <w:t>4）市级重大行政决策事项上会前须经市司法局合法</w:t>
            </w:r>
            <w:r>
              <w:rPr>
                <w:rFonts w:hint="eastAsia" w:ascii="仿宋" w:hAnsi="仿宋" w:eastAsia="仿宋" w:cs="仿宋"/>
                <w:kern w:val="2"/>
                <w:sz w:val="21"/>
                <w:szCs w:val="21"/>
                <w:lang w:val="en-US" w:eastAsia="zh-CN" w:bidi="ar-SA"/>
              </w:rPr>
              <w:t>性审查；</w:t>
            </w:r>
          </w:p>
          <w:p w14:paraId="19B014B4">
            <w:pPr>
              <w:keepNext w:val="0"/>
              <w:keepLines w:val="0"/>
              <w:pageBreakBefore w:val="0"/>
              <w:widowControl w:val="0"/>
              <w:numPr>
                <w:ilvl w:val="0"/>
                <w:numId w:val="0"/>
              </w:numPr>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（15）决策承办单位提交市政府决策草案时，一并提交草案解读材料、意见征集和采纳情况、专家论证、重大决策风险评估、合法性审查意见等材料；</w:t>
            </w:r>
          </w:p>
          <w:p w14:paraId="69B4E0C0">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（16）在集体研究决策环节，视情邀请行政决策利益相对人代表、学者、专家、新闻记者等列席会议；</w:t>
            </w:r>
          </w:p>
          <w:p w14:paraId="77EF9F6B">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（17）市政府办公室和决策承办部门通知市政数局提供网站保障，配合落实相关程序政府信息公开；</w:t>
            </w:r>
          </w:p>
          <w:p w14:paraId="0A56B6FA">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（18）重大行政决策预公开和决策结果公开情况，纳入市政府信息公开考核重点内容。</w:t>
            </w:r>
          </w:p>
          <w:p w14:paraId="334ABD0F">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（19）部门开展的重大行政决策，也要遵照市制定下发的《四平市重大行政决策程序规则》执行；</w:t>
            </w:r>
          </w:p>
          <w:p w14:paraId="2EEB930C">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（20）决策承办部门多措并举，开展“政策直达”和“精准推送”</w:t>
            </w:r>
          </w:p>
        </w:tc>
        <w:tc>
          <w:tcPr>
            <w:tcW w:w="1125" w:type="dxa"/>
            <w:vMerge w:val="restart"/>
            <w:vAlign w:val="center"/>
          </w:tcPr>
          <w:p w14:paraId="3C7C41C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黑体" w:hAnsi="黑体" w:eastAsia="黑体"/>
                <w:szCs w:val="21"/>
                <w:lang w:eastAsia="zh-CN"/>
              </w:rPr>
            </w:pPr>
            <w:r>
              <w:rPr>
                <w:rFonts w:hint="eastAsia" w:ascii="仿宋" w:hAnsi="仿宋" w:eastAsia="仿宋" w:cs="仿宋"/>
                <w:szCs w:val="21"/>
                <w:lang w:eastAsia="zh-CN"/>
              </w:rPr>
              <w:t>贯穿全年</w:t>
            </w:r>
          </w:p>
        </w:tc>
        <w:tc>
          <w:tcPr>
            <w:tcW w:w="1737" w:type="dxa"/>
            <w:vMerge w:val="restart"/>
            <w:vAlign w:val="center"/>
          </w:tcPr>
          <w:p w14:paraId="1B66F65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在政府信息公开专栏和市政府门户网站“重大行政决策公开”栏目中同步呈现；</w:t>
            </w:r>
          </w:p>
          <w:p w14:paraId="7DF436A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eastAsia="宋体"/>
                <w:lang w:eastAsia="zh-CN"/>
              </w:rPr>
            </w:pPr>
            <w:r>
              <w:rPr>
                <w:rFonts w:hint="eastAsia" w:ascii="仿宋" w:hAnsi="仿宋" w:eastAsia="仿宋" w:cs="仿宋"/>
                <w:kern w:val="2"/>
                <w:sz w:val="21"/>
                <w:szCs w:val="21"/>
                <w:lang w:val="en-US" w:eastAsia="zh-CN" w:bidi="ar-SA"/>
              </w:rPr>
              <w:t>各相关部门政策直达方式、渠道或平台</w:t>
            </w:r>
          </w:p>
        </w:tc>
      </w:tr>
      <w:tr w14:paraId="4DF4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170" w:type="dxa"/>
            <w:vMerge w:val="continue"/>
            <w:vAlign w:val="bottom"/>
          </w:tcPr>
          <w:p w14:paraId="217D8424">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375" w:type="dxa"/>
            <w:vMerge w:val="continue"/>
            <w:vAlign w:val="bottom"/>
          </w:tcPr>
          <w:p w14:paraId="6EA8BF46">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3517" w:type="dxa"/>
            <w:vAlign w:val="bottom"/>
          </w:tcPr>
          <w:p w14:paraId="5260A2B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以事项目录超链接方式归集展示决策草案全文、草案解读、意见征集渠道、公众意见建议收集和采纳情况、公众代表列席决策会议情况、决策结果等信息，视情公开重大决策风险评估、专家论证、效果评估、合法性审查等信息</w:t>
            </w:r>
          </w:p>
        </w:tc>
        <w:tc>
          <w:tcPr>
            <w:tcW w:w="1695" w:type="dxa"/>
            <w:vMerge w:val="continue"/>
            <w:vAlign w:val="bottom"/>
          </w:tcPr>
          <w:p w14:paraId="402959E6">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4888" w:type="dxa"/>
            <w:vMerge w:val="continue"/>
            <w:vAlign w:val="bottom"/>
          </w:tcPr>
          <w:p w14:paraId="2AB7D94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125" w:type="dxa"/>
            <w:vMerge w:val="continue"/>
            <w:vAlign w:val="bottom"/>
          </w:tcPr>
          <w:p w14:paraId="0DD7A1CB">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737" w:type="dxa"/>
            <w:vMerge w:val="continue"/>
            <w:vAlign w:val="bottom"/>
          </w:tcPr>
          <w:p w14:paraId="7DB90C48">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r>
      <w:tr w14:paraId="574F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vMerge w:val="continue"/>
            <w:vAlign w:val="bottom"/>
          </w:tcPr>
          <w:p w14:paraId="5E0C8AB5">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375" w:type="dxa"/>
            <w:vMerge w:val="continue"/>
            <w:vAlign w:val="bottom"/>
          </w:tcPr>
          <w:p w14:paraId="2EC09B25">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3517" w:type="dxa"/>
            <w:vAlign w:val="bottom"/>
          </w:tcPr>
          <w:p w14:paraId="616D6D8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9.决策文件出台后的10个工作日内，决策承办单位要向社会详细公开前期意见的收集、采纳情况以及较为集中意见不予采纳的原因</w:t>
            </w:r>
          </w:p>
        </w:tc>
        <w:tc>
          <w:tcPr>
            <w:tcW w:w="1695" w:type="dxa"/>
            <w:vMerge w:val="continue"/>
            <w:vAlign w:val="bottom"/>
          </w:tcPr>
          <w:p w14:paraId="6051022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4888" w:type="dxa"/>
            <w:vMerge w:val="continue"/>
            <w:vAlign w:val="bottom"/>
          </w:tcPr>
          <w:p w14:paraId="32F6799B">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125" w:type="dxa"/>
            <w:vMerge w:val="continue"/>
            <w:vAlign w:val="bottom"/>
          </w:tcPr>
          <w:p w14:paraId="1508439B">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737" w:type="dxa"/>
            <w:vMerge w:val="continue"/>
            <w:vAlign w:val="bottom"/>
          </w:tcPr>
          <w:p w14:paraId="30CB034B">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r>
      <w:tr w14:paraId="1250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Merge w:val="continue"/>
            <w:vAlign w:val="bottom"/>
          </w:tcPr>
          <w:p w14:paraId="1CEB5695">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375" w:type="dxa"/>
            <w:vMerge w:val="continue"/>
            <w:vAlign w:val="bottom"/>
          </w:tcPr>
          <w:p w14:paraId="4D4B74DA">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3517" w:type="dxa"/>
            <w:vAlign w:val="bottom"/>
          </w:tcPr>
          <w:p w14:paraId="33AD044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10.建立政策直达工作机制，为百姓生产生活提供政策直达服务</w:t>
            </w:r>
          </w:p>
        </w:tc>
        <w:tc>
          <w:tcPr>
            <w:tcW w:w="1695" w:type="dxa"/>
            <w:vMerge w:val="continue"/>
            <w:vAlign w:val="bottom"/>
          </w:tcPr>
          <w:p w14:paraId="5BF3DB99">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4888" w:type="dxa"/>
            <w:vMerge w:val="continue"/>
            <w:vAlign w:val="bottom"/>
          </w:tcPr>
          <w:p w14:paraId="5562C310">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125" w:type="dxa"/>
            <w:vMerge w:val="continue"/>
            <w:vAlign w:val="bottom"/>
          </w:tcPr>
          <w:p w14:paraId="63CAD2FE">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737" w:type="dxa"/>
            <w:vMerge w:val="continue"/>
            <w:vAlign w:val="bottom"/>
          </w:tcPr>
          <w:p w14:paraId="2FBC6B76">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r>
      <w:tr w14:paraId="1B90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Align w:val="bottom"/>
          </w:tcPr>
          <w:p w14:paraId="1025DF30">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目    标</w:t>
            </w:r>
          </w:p>
        </w:tc>
        <w:tc>
          <w:tcPr>
            <w:tcW w:w="1375" w:type="dxa"/>
            <w:vAlign w:val="bottom"/>
          </w:tcPr>
          <w:p w14:paraId="186A9BF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主要任务</w:t>
            </w:r>
          </w:p>
        </w:tc>
        <w:tc>
          <w:tcPr>
            <w:tcW w:w="3517" w:type="dxa"/>
            <w:vAlign w:val="bottom"/>
          </w:tcPr>
          <w:p w14:paraId="38D0153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细化指标</w:t>
            </w:r>
          </w:p>
        </w:tc>
        <w:tc>
          <w:tcPr>
            <w:tcW w:w="1695" w:type="dxa"/>
            <w:vAlign w:val="bottom"/>
          </w:tcPr>
          <w:p w14:paraId="22E4E920">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责任单位</w:t>
            </w:r>
          </w:p>
        </w:tc>
        <w:tc>
          <w:tcPr>
            <w:tcW w:w="4888" w:type="dxa"/>
            <w:vAlign w:val="bottom"/>
          </w:tcPr>
          <w:p w14:paraId="6AD7279A">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工作措施</w:t>
            </w:r>
          </w:p>
        </w:tc>
        <w:tc>
          <w:tcPr>
            <w:tcW w:w="1125" w:type="dxa"/>
            <w:vAlign w:val="bottom"/>
          </w:tcPr>
          <w:p w14:paraId="3E8B5A66">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完成时限</w:t>
            </w:r>
          </w:p>
        </w:tc>
        <w:tc>
          <w:tcPr>
            <w:tcW w:w="1737" w:type="dxa"/>
            <w:vAlign w:val="bottom"/>
          </w:tcPr>
          <w:p w14:paraId="7213B16D">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76E3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170" w:type="dxa"/>
            <w:vMerge w:val="restart"/>
            <w:vAlign w:val="center"/>
          </w:tcPr>
          <w:p w14:paraId="3A4359EA">
            <w:pPr>
              <w:spacing w:after="120"/>
              <w:rPr>
                <w:rFonts w:hint="eastAsia" w:ascii="仿宋" w:hAnsi="仿宋" w:eastAsia="仿宋" w:cs="仿宋"/>
                <w:szCs w:val="21"/>
                <w:lang w:eastAsia="zh-CN"/>
              </w:rPr>
            </w:pPr>
            <w:r>
              <w:rPr>
                <w:rFonts w:hint="eastAsia" w:ascii="仿宋" w:hAnsi="仿宋" w:eastAsia="仿宋" w:cs="仿宋"/>
                <w:szCs w:val="21"/>
                <w:lang w:eastAsia="zh-CN"/>
              </w:rPr>
              <w:t>二、</w:t>
            </w:r>
            <w:r>
              <w:rPr>
                <w:rFonts w:hint="eastAsia" w:ascii="仿宋" w:hAnsi="仿宋" w:eastAsia="仿宋" w:cs="仿宋"/>
                <w:szCs w:val="21"/>
              </w:rPr>
              <w:t>夯实政府信息公开基础</w:t>
            </w:r>
            <w:r>
              <w:rPr>
                <w:rFonts w:hint="eastAsia" w:ascii="仿宋" w:hAnsi="仿宋" w:eastAsia="仿宋" w:cs="仿宋"/>
                <w:szCs w:val="21"/>
                <w:lang w:eastAsia="zh-CN"/>
              </w:rPr>
              <w:t>工作</w:t>
            </w:r>
          </w:p>
        </w:tc>
        <w:tc>
          <w:tcPr>
            <w:tcW w:w="1375" w:type="dxa"/>
            <w:vMerge w:val="restart"/>
            <w:vAlign w:val="center"/>
          </w:tcPr>
          <w:p w14:paraId="633E2157">
            <w:pPr>
              <w:spacing w:after="12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eastAsia="zh-CN"/>
              </w:rPr>
              <w:t>六</w:t>
            </w:r>
            <w:r>
              <w:rPr>
                <w:rFonts w:hint="eastAsia" w:ascii="仿宋" w:hAnsi="仿宋" w:eastAsia="仿宋" w:cs="仿宋"/>
                <w:szCs w:val="21"/>
              </w:rPr>
              <w:t>）严格落实保密审查制度</w:t>
            </w:r>
          </w:p>
        </w:tc>
        <w:tc>
          <w:tcPr>
            <w:tcW w:w="3517" w:type="dxa"/>
            <w:vAlign w:val="bottom"/>
          </w:tcPr>
          <w:p w14:paraId="2BA3360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Cs w:val="21"/>
                <w:lang w:val="en-US" w:eastAsia="zh-CN"/>
              </w:rPr>
              <w:t>11</w:t>
            </w:r>
            <w:r>
              <w:rPr>
                <w:rFonts w:hint="eastAsia" w:ascii="仿宋" w:hAnsi="仿宋" w:eastAsia="仿宋" w:cs="仿宋"/>
                <w:szCs w:val="21"/>
              </w:rPr>
              <w:t>.</w:t>
            </w:r>
            <w:r>
              <w:rPr>
                <w:rFonts w:hint="eastAsia" w:ascii="仿宋" w:hAnsi="仿宋" w:eastAsia="仿宋" w:cs="仿宋"/>
                <w:szCs w:val="21"/>
                <w:lang w:eastAsia="zh-CN"/>
              </w:rPr>
              <w:t>对拟</w:t>
            </w:r>
            <w:r>
              <w:rPr>
                <w:rFonts w:hint="eastAsia" w:ascii="仿宋" w:hAnsi="仿宋" w:eastAsia="仿宋" w:cs="仿宋"/>
                <w:szCs w:val="21"/>
              </w:rPr>
              <w:t>公开的政府信息，必须经由保密审查把关，</w:t>
            </w:r>
            <w:r>
              <w:rPr>
                <w:rFonts w:hint="eastAsia" w:ascii="仿宋" w:hAnsi="仿宋" w:eastAsia="仿宋" w:cs="仿宋"/>
                <w:szCs w:val="21"/>
                <w:lang w:eastAsia="zh-CN"/>
              </w:rPr>
              <w:t>防止泄露国家秘密、工作秘密和敏感信息，防范数据汇聚引发泄密风险、</w:t>
            </w:r>
            <w:r>
              <w:rPr>
                <w:rFonts w:hint="eastAsia" w:ascii="仿宋" w:hAnsi="仿宋" w:eastAsia="仿宋" w:cs="仿宋"/>
                <w:szCs w:val="21"/>
              </w:rPr>
              <w:t>侵犯个人隐私等问题</w:t>
            </w:r>
          </w:p>
        </w:tc>
        <w:tc>
          <w:tcPr>
            <w:tcW w:w="1695" w:type="dxa"/>
            <w:vMerge w:val="restart"/>
            <w:vAlign w:val="center"/>
          </w:tcPr>
          <w:p w14:paraId="1FEEA0E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Cs w:val="21"/>
              </w:rPr>
              <w:t>牵头部门：市政府办公室</w:t>
            </w:r>
          </w:p>
          <w:p w14:paraId="79C510F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落实</w:t>
            </w:r>
            <w:r>
              <w:rPr>
                <w:rFonts w:hint="eastAsia" w:ascii="仿宋" w:hAnsi="仿宋" w:eastAsia="仿宋" w:cs="仿宋"/>
                <w:szCs w:val="21"/>
              </w:rPr>
              <w:t>部门：</w:t>
            </w:r>
            <w:r>
              <w:rPr>
                <w:rFonts w:hint="eastAsia" w:ascii="仿宋" w:hAnsi="仿宋" w:eastAsia="仿宋" w:cs="仿宋"/>
                <w:szCs w:val="21"/>
                <w:lang w:eastAsia="zh-CN"/>
              </w:rPr>
              <w:t>市政府各部门</w:t>
            </w:r>
          </w:p>
          <w:p w14:paraId="680921D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7A6C2B2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rPr>
            </w:pPr>
            <w:r>
              <w:rPr>
                <w:rFonts w:hint="eastAsia" w:ascii="仿宋" w:hAnsi="仿宋" w:eastAsia="仿宋" w:cs="仿宋"/>
                <w:szCs w:val="21"/>
                <w:lang w:eastAsia="zh-CN"/>
              </w:rPr>
              <w:t>（</w:t>
            </w:r>
            <w:r>
              <w:rPr>
                <w:rFonts w:hint="eastAsia" w:ascii="仿宋" w:hAnsi="仿宋" w:eastAsia="仿宋" w:cs="仿宋"/>
                <w:szCs w:val="21"/>
                <w:lang w:val="en-US" w:eastAsia="zh-CN"/>
              </w:rPr>
              <w:t>21）</w:t>
            </w:r>
            <w:r>
              <w:rPr>
                <w:rFonts w:hint="eastAsia" w:ascii="仿宋" w:hAnsi="仿宋" w:eastAsia="仿宋" w:cs="仿宋"/>
                <w:szCs w:val="21"/>
                <w:lang w:eastAsia="zh-CN"/>
              </w:rPr>
              <w:t>各行政机关要成立保密审查领导小组，熟知保密规定，明确工作职责；对本部门产生的所有政府信息必须履行保密审查程序，做出及时公开发布或按照保密规定妥善保管等审查结论</w:t>
            </w:r>
          </w:p>
        </w:tc>
        <w:tc>
          <w:tcPr>
            <w:tcW w:w="1125" w:type="dxa"/>
            <w:vMerge w:val="restart"/>
            <w:vAlign w:val="center"/>
          </w:tcPr>
          <w:p w14:paraId="0A500E0B">
            <w:pPr>
              <w:spacing w:after="120"/>
              <w:jc w:val="both"/>
              <w:rPr>
                <w:rFonts w:hint="eastAsia" w:ascii="仿宋" w:hAnsi="仿宋" w:eastAsia="仿宋" w:cs="仿宋"/>
                <w:szCs w:val="21"/>
              </w:rPr>
            </w:pPr>
            <w:r>
              <w:rPr>
                <w:rFonts w:hint="eastAsia" w:ascii="仿宋" w:hAnsi="仿宋" w:eastAsia="仿宋" w:cs="仿宋"/>
                <w:szCs w:val="21"/>
              </w:rPr>
              <w:t xml:space="preserve">贯穿全年 </w:t>
            </w:r>
          </w:p>
        </w:tc>
        <w:tc>
          <w:tcPr>
            <w:tcW w:w="1737" w:type="dxa"/>
            <w:vMerge w:val="restart"/>
            <w:vAlign w:val="center"/>
          </w:tcPr>
          <w:p w14:paraId="5BF9EBF7">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成立</w:t>
            </w:r>
            <w:r>
              <w:rPr>
                <w:rFonts w:hint="eastAsia" w:ascii="仿宋" w:hAnsi="仿宋" w:eastAsia="仿宋" w:cs="仿宋"/>
                <w:szCs w:val="21"/>
              </w:rPr>
              <w:t>保密审查领导小组</w:t>
            </w:r>
            <w:r>
              <w:rPr>
                <w:rFonts w:hint="eastAsia" w:ascii="仿宋" w:hAnsi="仿宋" w:eastAsia="仿宋" w:cs="仿宋"/>
                <w:szCs w:val="21"/>
                <w:lang w:eastAsia="zh-CN"/>
              </w:rPr>
              <w:t>（</w:t>
            </w:r>
            <w:r>
              <w:rPr>
                <w:rFonts w:hint="eastAsia" w:ascii="仿宋" w:hAnsi="仿宋" w:eastAsia="仿宋" w:cs="仿宋"/>
                <w:szCs w:val="21"/>
              </w:rPr>
              <w:t>成员及职责</w:t>
            </w:r>
            <w:r>
              <w:rPr>
                <w:rFonts w:hint="eastAsia" w:ascii="仿宋" w:hAnsi="仿宋" w:eastAsia="仿宋" w:cs="仿宋"/>
                <w:szCs w:val="21"/>
                <w:lang w:eastAsia="zh-CN"/>
              </w:rPr>
              <w:t>）；</w:t>
            </w:r>
          </w:p>
          <w:p w14:paraId="7CFA4FE7">
            <w:pPr>
              <w:spacing w:after="120"/>
              <w:jc w:val="both"/>
              <w:rPr>
                <w:rFonts w:hint="eastAsia" w:ascii="仿宋" w:hAnsi="仿宋" w:eastAsia="仿宋" w:cs="仿宋"/>
                <w:szCs w:val="21"/>
              </w:rPr>
            </w:pPr>
            <w:r>
              <w:rPr>
                <w:rFonts w:hint="eastAsia" w:ascii="仿宋" w:hAnsi="仿宋" w:eastAsia="仿宋" w:cs="仿宋"/>
                <w:szCs w:val="21"/>
              </w:rPr>
              <w:t>保密审查结论登记</w:t>
            </w:r>
          </w:p>
        </w:tc>
      </w:tr>
      <w:tr w14:paraId="1BB3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70" w:type="dxa"/>
            <w:vMerge w:val="continue"/>
            <w:vAlign w:val="center"/>
          </w:tcPr>
          <w:p w14:paraId="133B4F36">
            <w:pPr>
              <w:spacing w:after="120"/>
              <w:ind w:left="420" w:leftChars="200"/>
              <w:jc w:val="center"/>
              <w:rPr>
                <w:rFonts w:hint="eastAsia" w:ascii="仿宋" w:hAnsi="仿宋" w:eastAsia="仿宋" w:cs="仿宋"/>
                <w:szCs w:val="21"/>
              </w:rPr>
            </w:pPr>
          </w:p>
        </w:tc>
        <w:tc>
          <w:tcPr>
            <w:tcW w:w="1375" w:type="dxa"/>
            <w:vMerge w:val="continue"/>
            <w:vAlign w:val="center"/>
          </w:tcPr>
          <w:p w14:paraId="7E08A472">
            <w:pPr>
              <w:spacing w:after="120"/>
              <w:ind w:left="420" w:leftChars="200"/>
              <w:jc w:val="center"/>
              <w:rPr>
                <w:rFonts w:hint="eastAsia" w:ascii="仿宋" w:hAnsi="仿宋" w:eastAsia="仿宋" w:cs="仿宋"/>
                <w:szCs w:val="21"/>
              </w:rPr>
            </w:pPr>
          </w:p>
        </w:tc>
        <w:tc>
          <w:tcPr>
            <w:tcW w:w="3517" w:type="dxa"/>
            <w:vAlign w:val="center"/>
          </w:tcPr>
          <w:p w14:paraId="0872475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Cs w:val="21"/>
                <w:lang w:val="en-US" w:eastAsia="zh-CN"/>
              </w:rPr>
              <w:t>12</w:t>
            </w:r>
            <w:r>
              <w:rPr>
                <w:rFonts w:hint="eastAsia" w:ascii="仿宋" w:hAnsi="仿宋" w:eastAsia="仿宋" w:cs="仿宋"/>
                <w:szCs w:val="21"/>
              </w:rPr>
              <w:t>.制发的文件必须标清公开属性（此件公开发布/此件不予公开）</w:t>
            </w:r>
          </w:p>
        </w:tc>
        <w:tc>
          <w:tcPr>
            <w:tcW w:w="1695" w:type="dxa"/>
            <w:vMerge w:val="continue"/>
            <w:vAlign w:val="center"/>
          </w:tcPr>
          <w:p w14:paraId="234285F4">
            <w:pPr>
              <w:spacing w:after="120"/>
              <w:ind w:left="420" w:leftChars="200"/>
              <w:jc w:val="center"/>
              <w:rPr>
                <w:rFonts w:hint="eastAsia" w:ascii="仿宋" w:hAnsi="仿宋" w:eastAsia="仿宋" w:cs="仿宋"/>
                <w:szCs w:val="21"/>
              </w:rPr>
            </w:pPr>
          </w:p>
        </w:tc>
        <w:tc>
          <w:tcPr>
            <w:tcW w:w="4888" w:type="dxa"/>
            <w:vMerge w:val="continue"/>
            <w:vAlign w:val="center"/>
          </w:tcPr>
          <w:p w14:paraId="06718195">
            <w:pPr>
              <w:keepNext w:val="0"/>
              <w:keepLines w:val="0"/>
              <w:pageBreakBefore w:val="0"/>
              <w:widowControl w:val="0"/>
              <w:kinsoku/>
              <w:wordWrap/>
              <w:overflowPunct/>
              <w:topLinePunct w:val="0"/>
              <w:autoSpaceDE/>
              <w:autoSpaceDN/>
              <w:bidi w:val="0"/>
              <w:adjustRightInd/>
              <w:snapToGrid/>
              <w:spacing w:after="120" w:line="240" w:lineRule="exact"/>
              <w:textAlignment w:val="auto"/>
              <w:rPr>
                <w:rFonts w:hint="eastAsia" w:ascii="仿宋" w:hAnsi="仿宋" w:eastAsia="仿宋" w:cs="仿宋"/>
                <w:szCs w:val="21"/>
              </w:rPr>
            </w:pPr>
          </w:p>
        </w:tc>
        <w:tc>
          <w:tcPr>
            <w:tcW w:w="1125" w:type="dxa"/>
            <w:vMerge w:val="continue"/>
            <w:vAlign w:val="center"/>
          </w:tcPr>
          <w:p w14:paraId="0DD550E2">
            <w:pPr>
              <w:spacing w:after="120"/>
              <w:ind w:left="420" w:leftChars="200"/>
              <w:jc w:val="center"/>
              <w:rPr>
                <w:rFonts w:hint="eastAsia" w:ascii="仿宋" w:hAnsi="仿宋" w:eastAsia="仿宋" w:cs="仿宋"/>
                <w:szCs w:val="21"/>
              </w:rPr>
            </w:pPr>
          </w:p>
        </w:tc>
        <w:tc>
          <w:tcPr>
            <w:tcW w:w="1737" w:type="dxa"/>
            <w:vMerge w:val="continue"/>
            <w:vAlign w:val="center"/>
          </w:tcPr>
          <w:p w14:paraId="3F2A7020">
            <w:pPr>
              <w:spacing w:after="120"/>
              <w:ind w:left="420" w:leftChars="200"/>
              <w:jc w:val="center"/>
              <w:rPr>
                <w:rFonts w:hint="eastAsia" w:ascii="仿宋" w:hAnsi="仿宋" w:eastAsia="仿宋" w:cs="仿宋"/>
                <w:szCs w:val="21"/>
              </w:rPr>
            </w:pPr>
          </w:p>
        </w:tc>
      </w:tr>
      <w:tr w14:paraId="294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170" w:type="dxa"/>
            <w:vMerge w:val="continue"/>
            <w:vAlign w:val="center"/>
          </w:tcPr>
          <w:p w14:paraId="16D6E1B2">
            <w:pPr>
              <w:spacing w:after="120"/>
              <w:ind w:left="420" w:leftChars="200"/>
              <w:jc w:val="center"/>
              <w:rPr>
                <w:rFonts w:hint="eastAsia" w:ascii="仿宋" w:hAnsi="仿宋" w:eastAsia="仿宋" w:cs="仿宋"/>
                <w:szCs w:val="21"/>
              </w:rPr>
            </w:pPr>
          </w:p>
        </w:tc>
        <w:tc>
          <w:tcPr>
            <w:tcW w:w="1375" w:type="dxa"/>
            <w:vMerge w:val="continue"/>
            <w:vAlign w:val="center"/>
          </w:tcPr>
          <w:p w14:paraId="4C537BA0">
            <w:pPr>
              <w:spacing w:after="120"/>
              <w:ind w:left="420" w:leftChars="200"/>
              <w:rPr>
                <w:rFonts w:hint="eastAsia" w:ascii="仿宋" w:hAnsi="仿宋" w:eastAsia="仿宋" w:cs="仿宋"/>
                <w:szCs w:val="21"/>
              </w:rPr>
            </w:pPr>
          </w:p>
        </w:tc>
        <w:tc>
          <w:tcPr>
            <w:tcW w:w="3517" w:type="dxa"/>
            <w:vAlign w:val="center"/>
          </w:tcPr>
          <w:p w14:paraId="4082C6CF">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Cs w:val="21"/>
                <w:lang w:val="en-US" w:eastAsia="zh-CN"/>
              </w:rPr>
              <w:t>13</w:t>
            </w:r>
            <w:r>
              <w:rPr>
                <w:rFonts w:hint="eastAsia" w:ascii="仿宋" w:hAnsi="仿宋" w:eastAsia="仿宋" w:cs="仿宋"/>
                <w:szCs w:val="21"/>
              </w:rPr>
              <w:t>.需要公开的政府信息（文件）若含有不宜公开的内容，</w:t>
            </w:r>
            <w:r>
              <w:rPr>
                <w:rFonts w:hint="eastAsia" w:ascii="仿宋" w:hAnsi="仿宋" w:eastAsia="仿宋" w:cs="仿宋"/>
                <w:szCs w:val="21"/>
                <w:lang w:eastAsia="zh-CN"/>
              </w:rPr>
              <w:t>要</w:t>
            </w:r>
            <w:r>
              <w:rPr>
                <w:rFonts w:hint="eastAsia" w:ascii="仿宋" w:hAnsi="仿宋" w:eastAsia="仿宋" w:cs="仿宋"/>
                <w:szCs w:val="21"/>
              </w:rPr>
              <w:t>做去标识化处理（去掉敏感语句、保密数据或个人隐私等），将主要信息公开</w:t>
            </w:r>
          </w:p>
        </w:tc>
        <w:tc>
          <w:tcPr>
            <w:tcW w:w="1695" w:type="dxa"/>
            <w:vMerge w:val="continue"/>
            <w:vAlign w:val="center"/>
          </w:tcPr>
          <w:p w14:paraId="7461EBF5">
            <w:pPr>
              <w:spacing w:after="120"/>
              <w:rPr>
                <w:rFonts w:hint="eastAsia" w:ascii="仿宋" w:hAnsi="仿宋" w:eastAsia="仿宋" w:cs="仿宋"/>
                <w:szCs w:val="21"/>
              </w:rPr>
            </w:pPr>
          </w:p>
        </w:tc>
        <w:tc>
          <w:tcPr>
            <w:tcW w:w="4888" w:type="dxa"/>
            <w:vMerge w:val="continue"/>
            <w:vAlign w:val="center"/>
          </w:tcPr>
          <w:p w14:paraId="266967F0">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Cs w:val="21"/>
              </w:rPr>
            </w:pPr>
          </w:p>
        </w:tc>
        <w:tc>
          <w:tcPr>
            <w:tcW w:w="1125" w:type="dxa"/>
            <w:vMerge w:val="continue"/>
            <w:vAlign w:val="center"/>
          </w:tcPr>
          <w:p w14:paraId="129E71BA">
            <w:pPr>
              <w:spacing w:after="120"/>
              <w:ind w:left="420" w:leftChars="200"/>
              <w:jc w:val="left"/>
              <w:rPr>
                <w:rFonts w:hint="eastAsia" w:ascii="仿宋" w:hAnsi="仿宋" w:eastAsia="仿宋" w:cs="仿宋"/>
                <w:szCs w:val="21"/>
              </w:rPr>
            </w:pPr>
          </w:p>
        </w:tc>
        <w:tc>
          <w:tcPr>
            <w:tcW w:w="1737" w:type="dxa"/>
            <w:vMerge w:val="continue"/>
            <w:vAlign w:val="center"/>
          </w:tcPr>
          <w:p w14:paraId="43425158">
            <w:pPr>
              <w:spacing w:after="120"/>
              <w:ind w:left="420" w:leftChars="200"/>
              <w:jc w:val="left"/>
              <w:rPr>
                <w:rFonts w:hint="eastAsia" w:ascii="仿宋" w:hAnsi="仿宋" w:eastAsia="仿宋" w:cs="仿宋"/>
                <w:szCs w:val="21"/>
              </w:rPr>
            </w:pPr>
          </w:p>
        </w:tc>
      </w:tr>
      <w:tr w14:paraId="1B2F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170" w:type="dxa"/>
            <w:vMerge w:val="continue"/>
            <w:vAlign w:val="center"/>
          </w:tcPr>
          <w:p w14:paraId="516798D8">
            <w:pPr>
              <w:spacing w:after="120"/>
              <w:ind w:left="420" w:leftChars="200"/>
              <w:jc w:val="center"/>
              <w:rPr>
                <w:rFonts w:hint="eastAsia" w:ascii="仿宋" w:hAnsi="仿宋" w:eastAsia="仿宋" w:cs="仿宋"/>
                <w:szCs w:val="21"/>
              </w:rPr>
            </w:pPr>
          </w:p>
        </w:tc>
        <w:tc>
          <w:tcPr>
            <w:tcW w:w="1375" w:type="dxa"/>
            <w:vMerge w:val="restart"/>
            <w:vAlign w:val="center"/>
          </w:tcPr>
          <w:p w14:paraId="13A2102F">
            <w:pPr>
              <w:spacing w:after="120"/>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eastAsia="zh-CN"/>
              </w:rPr>
              <w:t>七</w:t>
            </w:r>
            <w:r>
              <w:rPr>
                <w:rFonts w:hint="eastAsia" w:ascii="仿宋" w:hAnsi="仿宋" w:eastAsia="仿宋" w:cs="仿宋"/>
                <w:szCs w:val="21"/>
              </w:rPr>
              <w:t>）</w:t>
            </w:r>
            <w:r>
              <w:rPr>
                <w:rFonts w:hint="eastAsia" w:ascii="仿宋" w:hAnsi="仿宋" w:eastAsia="仿宋" w:cs="仿宋"/>
                <w:szCs w:val="21"/>
                <w:lang w:eastAsia="zh-CN"/>
              </w:rPr>
              <w:t>依法依规办理政府信息公开申请</w:t>
            </w:r>
          </w:p>
        </w:tc>
        <w:tc>
          <w:tcPr>
            <w:tcW w:w="3517" w:type="dxa"/>
            <w:vAlign w:val="center"/>
          </w:tcPr>
          <w:p w14:paraId="7A1B91F1">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14.行政机关办理依申请公开政府信息事宜，严格按照“咨询告知、形式审查、登记回应、信息整理、保密审查、规范答复、资料归档”程序处理</w:t>
            </w:r>
          </w:p>
        </w:tc>
        <w:tc>
          <w:tcPr>
            <w:tcW w:w="1695" w:type="dxa"/>
            <w:vMerge w:val="restart"/>
            <w:vAlign w:val="center"/>
          </w:tcPr>
          <w:p w14:paraId="00BCB5B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Cs w:val="21"/>
              </w:rPr>
              <w:t>牵头部门：市政府办公室</w:t>
            </w:r>
          </w:p>
          <w:p w14:paraId="365E6AB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落实</w:t>
            </w:r>
            <w:r>
              <w:rPr>
                <w:rFonts w:hint="eastAsia" w:ascii="仿宋" w:hAnsi="仿宋" w:eastAsia="仿宋" w:cs="仿宋"/>
                <w:szCs w:val="21"/>
              </w:rPr>
              <w:t>部门：</w:t>
            </w:r>
            <w:r>
              <w:rPr>
                <w:rFonts w:hint="eastAsia" w:ascii="仿宋" w:hAnsi="仿宋" w:eastAsia="仿宋" w:cs="仿宋"/>
                <w:szCs w:val="21"/>
                <w:lang w:eastAsia="zh-CN"/>
              </w:rPr>
              <w:t>市政府各部门</w:t>
            </w:r>
          </w:p>
          <w:p w14:paraId="24FAFD2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1373557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rPr>
              <w:t>（</w:t>
            </w:r>
            <w:r>
              <w:rPr>
                <w:rFonts w:hint="eastAsia" w:ascii="仿宋" w:hAnsi="仿宋" w:eastAsia="仿宋" w:cs="仿宋"/>
                <w:szCs w:val="21"/>
                <w:lang w:val="en-US" w:eastAsia="zh-CN"/>
              </w:rPr>
              <w:t>22</w:t>
            </w:r>
            <w:r>
              <w:rPr>
                <w:rFonts w:hint="eastAsia" w:ascii="仿宋" w:hAnsi="仿宋" w:eastAsia="仿宋" w:cs="仿宋"/>
                <w:szCs w:val="21"/>
              </w:rPr>
              <w:t>）</w:t>
            </w:r>
            <w:r>
              <w:rPr>
                <w:rFonts w:hint="eastAsia" w:ascii="仿宋" w:hAnsi="仿宋" w:eastAsia="仿宋" w:cs="仿宋"/>
                <w:szCs w:val="21"/>
                <w:lang w:eastAsia="zh-CN"/>
              </w:rPr>
              <w:t>按照国务院办公厅转发的《关于审理政府信息公开行政复议案件若干问题的指导意见》（国办函〔2021〕132号），规范做好案件受理、审理工作</w:t>
            </w:r>
          </w:p>
          <w:p w14:paraId="49CB199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val="en-US" w:eastAsia="zh-CN"/>
              </w:rPr>
              <w:t>23</w:t>
            </w:r>
            <w:r>
              <w:rPr>
                <w:rFonts w:hint="eastAsia" w:ascii="仿宋" w:hAnsi="仿宋" w:eastAsia="仿宋" w:cs="仿宋"/>
                <w:szCs w:val="21"/>
              </w:rPr>
              <w:t>）</w:t>
            </w:r>
            <w:r>
              <w:rPr>
                <w:rFonts w:hint="eastAsia" w:ascii="仿宋" w:hAnsi="仿宋" w:eastAsia="仿宋" w:cs="仿宋"/>
                <w:szCs w:val="21"/>
                <w:lang w:eastAsia="zh-CN"/>
              </w:rPr>
              <w:t>加强业务培训和案例指导，提升答复文书规范化水平；正确适用《政府信息公开信息处理费管理办法》，严格依照规定的标准、程序、方式计收信息处理费用</w:t>
            </w:r>
          </w:p>
        </w:tc>
        <w:tc>
          <w:tcPr>
            <w:tcW w:w="1125" w:type="dxa"/>
            <w:vMerge w:val="restart"/>
            <w:vAlign w:val="center"/>
          </w:tcPr>
          <w:p w14:paraId="3756FF8C">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Cs w:val="21"/>
              </w:rPr>
            </w:pPr>
            <w:r>
              <w:rPr>
                <w:rFonts w:hint="eastAsia" w:ascii="仿宋" w:hAnsi="仿宋" w:eastAsia="仿宋" w:cs="仿宋"/>
                <w:szCs w:val="21"/>
              </w:rPr>
              <w:t>贯穿全年</w:t>
            </w:r>
          </w:p>
        </w:tc>
        <w:tc>
          <w:tcPr>
            <w:tcW w:w="1737" w:type="dxa"/>
            <w:vMerge w:val="restart"/>
            <w:vAlign w:val="center"/>
          </w:tcPr>
          <w:p w14:paraId="43A21564">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Cs w:val="21"/>
              </w:rPr>
            </w:pPr>
            <w:r>
              <w:rPr>
                <w:rFonts w:hint="eastAsia" w:ascii="仿宋" w:hAnsi="仿宋" w:eastAsia="仿宋" w:cs="仿宋"/>
                <w:szCs w:val="21"/>
                <w:lang w:eastAsia="zh-CN"/>
              </w:rPr>
              <w:t>政府信息公开申请登记、审核、办理、答复、归档等工作制度和规范文书样本</w:t>
            </w:r>
          </w:p>
        </w:tc>
      </w:tr>
      <w:tr w14:paraId="20BF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70" w:type="dxa"/>
            <w:vMerge w:val="continue"/>
            <w:vAlign w:val="center"/>
          </w:tcPr>
          <w:p w14:paraId="44C7E10B">
            <w:pPr>
              <w:spacing w:after="120"/>
              <w:ind w:left="420" w:leftChars="200"/>
              <w:jc w:val="center"/>
              <w:rPr>
                <w:rFonts w:hint="eastAsia" w:ascii="仿宋" w:hAnsi="仿宋" w:eastAsia="仿宋" w:cs="仿宋"/>
                <w:szCs w:val="21"/>
              </w:rPr>
            </w:pPr>
          </w:p>
        </w:tc>
        <w:tc>
          <w:tcPr>
            <w:tcW w:w="1375" w:type="dxa"/>
            <w:vMerge w:val="continue"/>
            <w:vAlign w:val="center"/>
          </w:tcPr>
          <w:p w14:paraId="2892C01B">
            <w:pPr>
              <w:spacing w:after="120"/>
              <w:rPr>
                <w:rFonts w:hint="eastAsia" w:ascii="仿宋" w:hAnsi="仿宋" w:eastAsia="仿宋" w:cs="仿宋"/>
                <w:szCs w:val="21"/>
              </w:rPr>
            </w:pPr>
          </w:p>
        </w:tc>
        <w:tc>
          <w:tcPr>
            <w:tcW w:w="3517" w:type="dxa"/>
            <w:vAlign w:val="center"/>
          </w:tcPr>
          <w:p w14:paraId="47F9E4F9">
            <w:pPr>
              <w:keepNext w:val="0"/>
              <w:keepLines w:val="0"/>
              <w:pageBreakBefore w:val="0"/>
              <w:widowControl w:val="0"/>
              <w:kinsoku/>
              <w:wordWrap/>
              <w:overflowPunct/>
              <w:topLinePunct w:val="0"/>
              <w:autoSpaceDE/>
              <w:autoSpaceDN/>
              <w:bidi w:val="0"/>
              <w:adjustRightInd/>
              <w:snapToGrid/>
              <w:spacing w:after="120" w:line="240" w:lineRule="exact"/>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15.定期对公开属性为依申请公开或不予公开的公文进行审查，符合主动公开条件的及时转化公开</w:t>
            </w:r>
          </w:p>
        </w:tc>
        <w:tc>
          <w:tcPr>
            <w:tcW w:w="1695" w:type="dxa"/>
            <w:vMerge w:val="continue"/>
            <w:vAlign w:val="center"/>
          </w:tcPr>
          <w:p w14:paraId="4D2DCB25">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 w:val="21"/>
                <w:szCs w:val="21"/>
              </w:rPr>
            </w:pPr>
          </w:p>
        </w:tc>
        <w:tc>
          <w:tcPr>
            <w:tcW w:w="4888" w:type="dxa"/>
            <w:vMerge w:val="continue"/>
            <w:vAlign w:val="center"/>
          </w:tcPr>
          <w:p w14:paraId="25D885B3">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Cs w:val="21"/>
              </w:rPr>
            </w:pPr>
          </w:p>
        </w:tc>
        <w:tc>
          <w:tcPr>
            <w:tcW w:w="1125" w:type="dxa"/>
            <w:vMerge w:val="continue"/>
            <w:vAlign w:val="center"/>
          </w:tcPr>
          <w:p w14:paraId="611C54F8">
            <w:pPr>
              <w:spacing w:after="120"/>
              <w:jc w:val="left"/>
              <w:rPr>
                <w:rFonts w:hint="eastAsia" w:ascii="仿宋" w:hAnsi="仿宋" w:eastAsia="仿宋" w:cs="仿宋"/>
                <w:szCs w:val="21"/>
              </w:rPr>
            </w:pPr>
          </w:p>
        </w:tc>
        <w:tc>
          <w:tcPr>
            <w:tcW w:w="1737" w:type="dxa"/>
            <w:vMerge w:val="continue"/>
            <w:vAlign w:val="center"/>
          </w:tcPr>
          <w:p w14:paraId="4185734B">
            <w:pPr>
              <w:spacing w:after="120"/>
              <w:jc w:val="left"/>
              <w:rPr>
                <w:rFonts w:hint="eastAsia" w:ascii="仿宋" w:hAnsi="仿宋" w:eastAsia="仿宋" w:cs="仿宋"/>
                <w:szCs w:val="21"/>
                <w:lang w:eastAsia="zh-CN"/>
              </w:rPr>
            </w:pPr>
          </w:p>
        </w:tc>
      </w:tr>
      <w:tr w14:paraId="7758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170" w:type="dxa"/>
            <w:vMerge w:val="continue"/>
            <w:vAlign w:val="center"/>
          </w:tcPr>
          <w:p w14:paraId="54468321">
            <w:pPr>
              <w:spacing w:after="120"/>
              <w:ind w:left="420" w:leftChars="200"/>
              <w:jc w:val="center"/>
              <w:rPr>
                <w:rFonts w:hint="eastAsia" w:ascii="仿宋" w:hAnsi="仿宋" w:eastAsia="仿宋" w:cs="仿宋"/>
                <w:szCs w:val="21"/>
              </w:rPr>
            </w:pPr>
          </w:p>
        </w:tc>
        <w:tc>
          <w:tcPr>
            <w:tcW w:w="1375" w:type="dxa"/>
            <w:vAlign w:val="center"/>
          </w:tcPr>
          <w:p w14:paraId="26466843">
            <w:pPr>
              <w:spacing w:after="120"/>
              <w:rPr>
                <w:rFonts w:hint="eastAsia" w:ascii="仿宋" w:hAnsi="仿宋" w:eastAsia="仿宋" w:cs="仿宋"/>
                <w:kern w:val="2"/>
                <w:sz w:val="21"/>
                <w:szCs w:val="21"/>
                <w:lang w:val="en-US" w:eastAsia="zh-CN" w:bidi="ar-SA"/>
              </w:rPr>
            </w:pPr>
            <w:r>
              <w:rPr>
                <w:rFonts w:hint="eastAsia" w:ascii="仿宋" w:hAnsi="仿宋" w:eastAsia="仿宋" w:cs="仿宋"/>
                <w:szCs w:val="21"/>
              </w:rPr>
              <w:t>（</w:t>
            </w:r>
            <w:r>
              <w:rPr>
                <w:rFonts w:hint="eastAsia" w:ascii="仿宋" w:hAnsi="仿宋" w:eastAsia="仿宋" w:cs="仿宋"/>
                <w:szCs w:val="21"/>
                <w:lang w:eastAsia="zh-CN"/>
              </w:rPr>
              <w:t>八</w:t>
            </w:r>
            <w:r>
              <w:rPr>
                <w:rFonts w:hint="eastAsia" w:ascii="仿宋" w:hAnsi="仿宋" w:eastAsia="仿宋" w:cs="仿宋"/>
                <w:szCs w:val="21"/>
              </w:rPr>
              <w:t>）</w:t>
            </w:r>
            <w:r>
              <w:rPr>
                <w:rFonts w:hint="eastAsia" w:ascii="仿宋" w:hAnsi="仿宋" w:eastAsia="仿宋" w:cs="仿宋"/>
                <w:szCs w:val="21"/>
                <w:lang w:eastAsia="zh-CN"/>
              </w:rPr>
              <w:t>规范审理政府信息公开行政复议案件</w:t>
            </w:r>
          </w:p>
        </w:tc>
        <w:tc>
          <w:tcPr>
            <w:tcW w:w="3517" w:type="dxa"/>
            <w:vAlign w:val="center"/>
          </w:tcPr>
          <w:p w14:paraId="1CF94A10">
            <w:pPr>
              <w:keepNext w:val="0"/>
              <w:keepLines w:val="0"/>
              <w:pageBreakBefore w:val="0"/>
              <w:widowControl w:val="0"/>
              <w:kinsoku/>
              <w:wordWrap/>
              <w:overflowPunct/>
              <w:topLinePunct w:val="0"/>
              <w:autoSpaceDE/>
              <w:autoSpaceDN/>
              <w:bidi w:val="0"/>
              <w:adjustRightInd/>
              <w:snapToGrid/>
              <w:spacing w:after="120" w:line="24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16</w:t>
            </w:r>
            <w:r>
              <w:rPr>
                <w:rFonts w:hint="eastAsia" w:ascii="仿宋" w:hAnsi="仿宋" w:eastAsia="仿宋" w:cs="仿宋"/>
                <w:szCs w:val="21"/>
              </w:rPr>
              <w:t>.</w:t>
            </w:r>
            <w:r>
              <w:rPr>
                <w:rFonts w:hint="eastAsia" w:ascii="仿宋" w:hAnsi="仿宋" w:eastAsia="仿宋" w:cs="仿宋"/>
                <w:szCs w:val="21"/>
                <w:lang w:eastAsia="zh-CN"/>
              </w:rPr>
              <w:t>严格按照政府信息公开类行政复议案件审理规范和审理标准，规范案件审理工作，有效解决实践中较为突出的同案不同判问题，更好地保障人民群众的合法权益</w:t>
            </w:r>
          </w:p>
        </w:tc>
        <w:tc>
          <w:tcPr>
            <w:tcW w:w="1695" w:type="dxa"/>
            <w:vAlign w:val="center"/>
          </w:tcPr>
          <w:p w14:paraId="1AFFF74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Cs w:val="21"/>
              </w:rPr>
              <w:t>牵头部门：市司法局</w:t>
            </w:r>
          </w:p>
          <w:p w14:paraId="2A402B9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Cs w:val="21"/>
              </w:rPr>
              <w:t>配合部门：市政府各部门</w:t>
            </w:r>
          </w:p>
          <w:p w14:paraId="5C67D5E8">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Align w:val="center"/>
          </w:tcPr>
          <w:p w14:paraId="185347E4">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w:t>
            </w:r>
            <w:r>
              <w:rPr>
                <w:rFonts w:hint="eastAsia" w:ascii="仿宋" w:hAnsi="仿宋" w:eastAsia="仿宋" w:cs="仿宋"/>
                <w:szCs w:val="21"/>
                <w:lang w:val="en-US" w:eastAsia="zh-CN"/>
              </w:rPr>
              <w:t>24）</w:t>
            </w:r>
            <w:r>
              <w:rPr>
                <w:rFonts w:hint="eastAsia" w:ascii="仿宋" w:hAnsi="仿宋" w:eastAsia="仿宋" w:cs="仿宋"/>
                <w:szCs w:val="21"/>
                <w:lang w:eastAsia="zh-CN"/>
              </w:rPr>
              <w:t>按照国务院办公厅转发的《关于审理政府信息公开行政复议案件若干问题的指导意见》（国办函〔</w:t>
            </w:r>
            <w:r>
              <w:rPr>
                <w:rFonts w:hint="eastAsia" w:ascii="仿宋" w:hAnsi="仿宋" w:eastAsia="仿宋" w:cs="仿宋"/>
                <w:szCs w:val="21"/>
                <w:lang w:val="en-US" w:eastAsia="zh-CN"/>
              </w:rPr>
              <w:t>2021</w:t>
            </w:r>
            <w:r>
              <w:rPr>
                <w:rFonts w:hint="eastAsia" w:ascii="仿宋" w:hAnsi="仿宋" w:eastAsia="仿宋" w:cs="仿宋"/>
                <w:szCs w:val="21"/>
                <w:lang w:eastAsia="zh-CN"/>
              </w:rPr>
              <w:t>〕</w:t>
            </w:r>
            <w:r>
              <w:rPr>
                <w:rFonts w:hint="eastAsia" w:ascii="仿宋" w:hAnsi="仿宋" w:eastAsia="仿宋" w:cs="仿宋"/>
                <w:szCs w:val="21"/>
                <w:lang w:val="en-US" w:eastAsia="zh-CN"/>
              </w:rPr>
              <w:t>132号）规范做好案件受理、审理工作</w:t>
            </w:r>
          </w:p>
        </w:tc>
        <w:tc>
          <w:tcPr>
            <w:tcW w:w="1125" w:type="dxa"/>
            <w:vAlign w:val="center"/>
          </w:tcPr>
          <w:p w14:paraId="08D39373">
            <w:pPr>
              <w:spacing w:after="12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贯穿全年</w:t>
            </w:r>
          </w:p>
        </w:tc>
        <w:tc>
          <w:tcPr>
            <w:tcW w:w="1737" w:type="dxa"/>
            <w:vAlign w:val="center"/>
          </w:tcPr>
          <w:p w14:paraId="16A5B2CC">
            <w:pPr>
              <w:spacing w:after="120"/>
              <w:jc w:val="lef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形成政府信息公开行政复议案件统</w:t>
            </w:r>
            <w:r>
              <w:rPr>
                <w:rFonts w:hint="eastAsia" w:ascii="仿宋" w:hAnsi="仿宋" w:eastAsia="仿宋" w:cs="仿宋"/>
                <w:szCs w:val="21"/>
                <w:lang w:eastAsia="zh-CN"/>
              </w:rPr>
              <w:t>计表</w:t>
            </w:r>
          </w:p>
        </w:tc>
      </w:tr>
      <w:tr w14:paraId="436B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Align w:val="bottom"/>
          </w:tcPr>
          <w:p w14:paraId="11D13644">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目    标</w:t>
            </w:r>
          </w:p>
        </w:tc>
        <w:tc>
          <w:tcPr>
            <w:tcW w:w="1375" w:type="dxa"/>
            <w:vAlign w:val="bottom"/>
          </w:tcPr>
          <w:p w14:paraId="01792544">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主要任务</w:t>
            </w:r>
          </w:p>
        </w:tc>
        <w:tc>
          <w:tcPr>
            <w:tcW w:w="3517" w:type="dxa"/>
            <w:vAlign w:val="bottom"/>
          </w:tcPr>
          <w:p w14:paraId="7D3F521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细化指标</w:t>
            </w:r>
          </w:p>
        </w:tc>
        <w:tc>
          <w:tcPr>
            <w:tcW w:w="1695" w:type="dxa"/>
            <w:vAlign w:val="bottom"/>
          </w:tcPr>
          <w:p w14:paraId="41BB1B9B">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责任单位</w:t>
            </w:r>
          </w:p>
        </w:tc>
        <w:tc>
          <w:tcPr>
            <w:tcW w:w="4888" w:type="dxa"/>
            <w:vAlign w:val="bottom"/>
          </w:tcPr>
          <w:p w14:paraId="149754DC">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工作措施</w:t>
            </w:r>
          </w:p>
        </w:tc>
        <w:tc>
          <w:tcPr>
            <w:tcW w:w="1125" w:type="dxa"/>
            <w:vAlign w:val="bottom"/>
          </w:tcPr>
          <w:p w14:paraId="2D666D71">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完成时限</w:t>
            </w:r>
          </w:p>
        </w:tc>
        <w:tc>
          <w:tcPr>
            <w:tcW w:w="1737" w:type="dxa"/>
            <w:vAlign w:val="bottom"/>
          </w:tcPr>
          <w:p w14:paraId="57B8869E">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7D5F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170" w:type="dxa"/>
            <w:vMerge w:val="restart"/>
            <w:vAlign w:val="center"/>
          </w:tcPr>
          <w:p w14:paraId="20C6137D">
            <w:pPr>
              <w:spacing w:after="120"/>
              <w:rPr>
                <w:rFonts w:hint="eastAsia" w:ascii="仿宋" w:hAnsi="仿宋" w:eastAsia="仿宋" w:cs="仿宋"/>
                <w:szCs w:val="21"/>
              </w:rPr>
            </w:pPr>
            <w:r>
              <w:rPr>
                <w:rFonts w:hint="eastAsia" w:ascii="仿宋" w:hAnsi="仿宋" w:eastAsia="仿宋" w:cs="仿宋"/>
                <w:szCs w:val="21"/>
                <w:lang w:eastAsia="zh-CN"/>
              </w:rPr>
              <w:t>三、抓实重点领域</w:t>
            </w:r>
            <w:r>
              <w:rPr>
                <w:rFonts w:hint="eastAsia" w:ascii="仿宋" w:hAnsi="仿宋" w:eastAsia="仿宋" w:cs="仿宋"/>
                <w:szCs w:val="21"/>
              </w:rPr>
              <w:t>政府信息公开</w:t>
            </w:r>
          </w:p>
        </w:tc>
        <w:tc>
          <w:tcPr>
            <w:tcW w:w="1375" w:type="dxa"/>
            <w:vMerge w:val="restart"/>
            <w:vAlign w:val="center"/>
          </w:tcPr>
          <w:p w14:paraId="74B621E6">
            <w:pPr>
              <w:spacing w:after="120"/>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eastAsia="zh-CN"/>
              </w:rPr>
              <w:t>九</w:t>
            </w:r>
            <w:r>
              <w:rPr>
                <w:rFonts w:hint="eastAsia" w:ascii="仿宋" w:hAnsi="仿宋" w:eastAsia="仿宋" w:cs="仿宋"/>
                <w:szCs w:val="21"/>
              </w:rPr>
              <w:t>）</w:t>
            </w:r>
            <w:r>
              <w:rPr>
                <w:rFonts w:hint="eastAsia" w:ascii="仿宋" w:hAnsi="仿宋" w:eastAsia="仿宋" w:cs="仿宋"/>
                <w:szCs w:val="21"/>
                <w:lang w:eastAsia="zh-CN"/>
              </w:rPr>
              <w:t>加强涉及市场主体的信息公开</w:t>
            </w:r>
          </w:p>
        </w:tc>
        <w:tc>
          <w:tcPr>
            <w:tcW w:w="3517" w:type="dxa"/>
            <w:vAlign w:val="center"/>
          </w:tcPr>
          <w:p w14:paraId="453EBB5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val="en-US" w:eastAsia="zh-CN"/>
              </w:rPr>
              <w:t>17</w:t>
            </w:r>
            <w:r>
              <w:rPr>
                <w:rFonts w:hint="eastAsia" w:ascii="仿宋" w:hAnsi="仿宋" w:eastAsia="仿宋" w:cs="仿宋"/>
                <w:szCs w:val="21"/>
              </w:rPr>
              <w:t>.</w:t>
            </w:r>
            <w:r>
              <w:rPr>
                <w:rFonts w:hint="eastAsia" w:ascii="仿宋" w:hAnsi="仿宋" w:eastAsia="仿宋" w:cs="仿宋"/>
                <w:szCs w:val="21"/>
                <w:lang w:eastAsia="zh-CN"/>
              </w:rPr>
              <w:t>加大受疫情影响重的餐饮、住宿、零售、文化、旅游、客运等行业帮扶政策的公开力度，促进稳就业和消费恢复</w:t>
            </w:r>
          </w:p>
        </w:tc>
        <w:tc>
          <w:tcPr>
            <w:tcW w:w="1695" w:type="dxa"/>
            <w:vAlign w:val="center"/>
          </w:tcPr>
          <w:p w14:paraId="3119BE7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推动部门：市政府办公室、市发改委</w:t>
            </w:r>
          </w:p>
          <w:p w14:paraId="5FDC65D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落实部门：市政府各相关部门</w:t>
            </w:r>
          </w:p>
          <w:p w14:paraId="32BE0DB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Align w:val="center"/>
          </w:tcPr>
          <w:p w14:paraId="3E80DD2C">
            <w:pPr>
              <w:keepNext w:val="0"/>
              <w:keepLines w:val="0"/>
              <w:pageBreakBefore w:val="0"/>
              <w:widowControl w:val="0"/>
              <w:numPr>
                <w:ilvl w:val="0"/>
                <w:numId w:val="0"/>
              </w:numPr>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（25）各相关职能部门，</w:t>
            </w:r>
            <w:r>
              <w:rPr>
                <w:rFonts w:hint="eastAsia" w:ascii="仿宋" w:hAnsi="仿宋" w:eastAsia="仿宋" w:cs="仿宋"/>
                <w:szCs w:val="21"/>
                <w:lang w:val="en-US" w:eastAsia="zh-CN"/>
              </w:rPr>
              <w:t>大力宣贯《吉林省人民政府为企业办实事清单》，</w:t>
            </w:r>
            <w:r>
              <w:rPr>
                <w:rFonts w:hint="eastAsia" w:ascii="仿宋" w:hAnsi="仿宋" w:eastAsia="仿宋" w:cs="仿宋"/>
                <w:sz w:val="21"/>
                <w:szCs w:val="21"/>
                <w:lang w:val="en-US" w:eastAsia="zh-CN"/>
              </w:rPr>
              <w:t>按照省、市关于助力复工复产指示精神，结合本市实际出台帮扶政策或举措，并将其多渠道、多平台公开；</w:t>
            </w:r>
          </w:p>
          <w:p w14:paraId="1BF5477B">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（26）将服务企业直达政策清单汇聚到“吉林省服务企业政策直达专区”公开发布</w:t>
            </w:r>
          </w:p>
        </w:tc>
        <w:tc>
          <w:tcPr>
            <w:tcW w:w="1125" w:type="dxa"/>
            <w:vMerge w:val="restart"/>
            <w:vAlign w:val="center"/>
          </w:tcPr>
          <w:p w14:paraId="185867B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贯穿全年 </w:t>
            </w:r>
          </w:p>
        </w:tc>
        <w:tc>
          <w:tcPr>
            <w:tcW w:w="1737" w:type="dxa"/>
            <w:vAlign w:val="center"/>
          </w:tcPr>
          <w:p w14:paraId="4E01051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 w:val="21"/>
                <w:szCs w:val="21"/>
                <w:lang w:eastAsia="zh-CN"/>
              </w:rPr>
              <w:t>相关政策</w:t>
            </w:r>
            <w:r>
              <w:rPr>
                <w:rFonts w:hint="eastAsia" w:ascii="仿宋" w:hAnsi="仿宋" w:eastAsia="仿宋" w:cs="仿宋"/>
                <w:sz w:val="21"/>
                <w:szCs w:val="21"/>
              </w:rPr>
              <w:t>在政府信息公开专栏</w:t>
            </w:r>
            <w:r>
              <w:rPr>
                <w:rFonts w:hint="eastAsia" w:ascii="仿宋" w:hAnsi="仿宋" w:eastAsia="仿宋" w:cs="仿宋"/>
                <w:sz w:val="21"/>
                <w:szCs w:val="21"/>
                <w:lang w:eastAsia="zh-CN"/>
              </w:rPr>
              <w:t>、</w:t>
            </w:r>
            <w:r>
              <w:rPr>
                <w:rFonts w:hint="eastAsia" w:ascii="仿宋" w:hAnsi="仿宋" w:eastAsia="仿宋" w:cs="仿宋"/>
                <w:sz w:val="21"/>
                <w:szCs w:val="21"/>
              </w:rPr>
              <w:t>疫情防控专栏</w:t>
            </w:r>
            <w:r>
              <w:rPr>
                <w:rFonts w:hint="eastAsia" w:ascii="仿宋" w:hAnsi="仿宋" w:eastAsia="仿宋" w:cs="仿宋"/>
                <w:sz w:val="21"/>
                <w:szCs w:val="21"/>
                <w:lang w:eastAsia="zh-CN"/>
              </w:rPr>
              <w:t>、政策直达专区、政务新媒体等平台</w:t>
            </w:r>
            <w:r>
              <w:rPr>
                <w:rFonts w:hint="eastAsia" w:ascii="仿宋" w:hAnsi="仿宋" w:eastAsia="仿宋" w:cs="仿宋"/>
                <w:sz w:val="21"/>
                <w:szCs w:val="21"/>
              </w:rPr>
              <w:t>中呈现</w:t>
            </w:r>
          </w:p>
        </w:tc>
      </w:tr>
      <w:tr w14:paraId="4794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70" w:type="dxa"/>
            <w:vMerge w:val="continue"/>
            <w:vAlign w:val="center"/>
          </w:tcPr>
          <w:p w14:paraId="35C81F55">
            <w:pPr>
              <w:spacing w:after="120"/>
              <w:ind w:left="420" w:leftChars="200"/>
              <w:jc w:val="center"/>
              <w:rPr>
                <w:rFonts w:hint="eastAsia" w:ascii="仿宋" w:hAnsi="仿宋" w:eastAsia="仿宋" w:cs="仿宋"/>
                <w:szCs w:val="21"/>
              </w:rPr>
            </w:pPr>
          </w:p>
        </w:tc>
        <w:tc>
          <w:tcPr>
            <w:tcW w:w="1375" w:type="dxa"/>
            <w:vMerge w:val="continue"/>
            <w:vAlign w:val="center"/>
          </w:tcPr>
          <w:p w14:paraId="466FB666">
            <w:pPr>
              <w:spacing w:after="120"/>
              <w:ind w:left="420" w:leftChars="200"/>
              <w:jc w:val="center"/>
              <w:rPr>
                <w:rFonts w:hint="eastAsia" w:ascii="仿宋" w:hAnsi="仿宋" w:eastAsia="仿宋" w:cs="仿宋"/>
                <w:szCs w:val="21"/>
              </w:rPr>
            </w:pPr>
          </w:p>
        </w:tc>
        <w:tc>
          <w:tcPr>
            <w:tcW w:w="3517" w:type="dxa"/>
            <w:vAlign w:val="center"/>
          </w:tcPr>
          <w:p w14:paraId="2903A2AF">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18.建立市场主体反映投资和工程建设项目审批问题的办理和反馈机制，及时回应和解决“堵点”问题，推动优化投资和建设环境</w:t>
            </w:r>
          </w:p>
        </w:tc>
        <w:tc>
          <w:tcPr>
            <w:tcW w:w="1695" w:type="dxa"/>
            <w:vAlign w:val="center"/>
          </w:tcPr>
          <w:p w14:paraId="2075EE8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牵头部门：市发改委、市政数局</w:t>
            </w:r>
          </w:p>
          <w:p w14:paraId="4C405DF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配合部门：市政府各相关部门</w:t>
            </w:r>
          </w:p>
          <w:p w14:paraId="5EA7492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Align w:val="center"/>
          </w:tcPr>
          <w:p w14:paraId="27C5F8A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（27）按照《政务服务“好差评”规范》受理、回应市场主体；</w:t>
            </w:r>
          </w:p>
          <w:p w14:paraId="5725B39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（28）按照《“跑一次没办成”投诉与代办规范》启动领办、代办工作机制，疏通“堵点”</w:t>
            </w:r>
          </w:p>
        </w:tc>
        <w:tc>
          <w:tcPr>
            <w:tcW w:w="1125" w:type="dxa"/>
            <w:vMerge w:val="continue"/>
            <w:vAlign w:val="center"/>
          </w:tcPr>
          <w:p w14:paraId="4022E955">
            <w:pPr>
              <w:keepNext w:val="0"/>
              <w:keepLines w:val="0"/>
              <w:pageBreakBefore w:val="0"/>
              <w:widowControl w:val="0"/>
              <w:kinsoku/>
              <w:wordWrap/>
              <w:overflowPunct/>
              <w:topLinePunct w:val="0"/>
              <w:autoSpaceDE/>
              <w:autoSpaceDN/>
              <w:bidi w:val="0"/>
              <w:adjustRightInd/>
              <w:snapToGrid/>
              <w:spacing w:after="120" w:line="240" w:lineRule="exact"/>
              <w:ind w:left="420" w:leftChars="200"/>
              <w:jc w:val="center"/>
              <w:textAlignment w:val="auto"/>
              <w:rPr>
                <w:rFonts w:hint="eastAsia" w:ascii="仿宋" w:hAnsi="仿宋" w:eastAsia="仿宋" w:cs="仿宋"/>
                <w:sz w:val="21"/>
                <w:szCs w:val="21"/>
              </w:rPr>
            </w:pPr>
          </w:p>
        </w:tc>
        <w:tc>
          <w:tcPr>
            <w:tcW w:w="1737" w:type="dxa"/>
            <w:vAlign w:val="center"/>
          </w:tcPr>
          <w:p w14:paraId="45489AF1">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好差评情况、涉软投诉举报情况</w:t>
            </w:r>
          </w:p>
        </w:tc>
      </w:tr>
      <w:tr w14:paraId="1F23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70" w:type="dxa"/>
            <w:vMerge w:val="continue"/>
            <w:vAlign w:val="center"/>
          </w:tcPr>
          <w:p w14:paraId="6A5D0902">
            <w:pPr>
              <w:spacing w:after="120"/>
              <w:ind w:left="420" w:leftChars="200"/>
              <w:jc w:val="center"/>
              <w:rPr>
                <w:rFonts w:hint="eastAsia" w:ascii="仿宋" w:hAnsi="仿宋" w:eastAsia="仿宋" w:cs="仿宋"/>
                <w:szCs w:val="21"/>
              </w:rPr>
            </w:pPr>
          </w:p>
        </w:tc>
        <w:tc>
          <w:tcPr>
            <w:tcW w:w="1375" w:type="dxa"/>
            <w:vMerge w:val="continue"/>
            <w:vAlign w:val="center"/>
          </w:tcPr>
          <w:p w14:paraId="4DD22D5A">
            <w:pPr>
              <w:spacing w:after="120"/>
              <w:ind w:left="420" w:leftChars="200"/>
              <w:rPr>
                <w:rFonts w:hint="eastAsia" w:ascii="仿宋" w:hAnsi="仿宋" w:eastAsia="仿宋" w:cs="仿宋"/>
                <w:szCs w:val="21"/>
              </w:rPr>
            </w:pPr>
          </w:p>
        </w:tc>
        <w:tc>
          <w:tcPr>
            <w:tcW w:w="3517" w:type="dxa"/>
            <w:vAlign w:val="center"/>
          </w:tcPr>
          <w:p w14:paraId="4B8C4CA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19.推进信息公开，为市场主体营造诚信守法、公平竞争的市场环境</w:t>
            </w:r>
          </w:p>
        </w:tc>
        <w:tc>
          <w:tcPr>
            <w:tcW w:w="1695" w:type="dxa"/>
            <w:vAlign w:val="center"/>
          </w:tcPr>
          <w:p w14:paraId="1B39534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落实部门：市市场监督管理局</w:t>
            </w:r>
          </w:p>
          <w:p w14:paraId="6DFA549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Align w:val="center"/>
          </w:tcPr>
          <w:p w14:paraId="734A19C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（29）在政府门户网站、政务服务网、政务大厅等平台，主动公开全国统一的市场准入负面清单，并根据调整情况做好更新发布；</w:t>
            </w:r>
          </w:p>
          <w:p w14:paraId="47ECB04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（30）有序开展企业信息公示、“双随机、一公开”等工作</w:t>
            </w:r>
          </w:p>
        </w:tc>
        <w:tc>
          <w:tcPr>
            <w:tcW w:w="1125" w:type="dxa"/>
            <w:vMerge w:val="continue"/>
            <w:vAlign w:val="center"/>
          </w:tcPr>
          <w:p w14:paraId="69478C5F">
            <w:pPr>
              <w:spacing w:after="120"/>
              <w:ind w:left="420" w:leftChars="200"/>
              <w:jc w:val="left"/>
              <w:rPr>
                <w:rFonts w:hint="eastAsia" w:ascii="仿宋" w:hAnsi="仿宋" w:eastAsia="仿宋" w:cs="仿宋"/>
                <w:szCs w:val="21"/>
              </w:rPr>
            </w:pPr>
          </w:p>
        </w:tc>
        <w:tc>
          <w:tcPr>
            <w:tcW w:w="1737" w:type="dxa"/>
            <w:vAlign w:val="center"/>
          </w:tcPr>
          <w:p w14:paraId="16368056">
            <w:pPr>
              <w:spacing w:after="120"/>
              <w:jc w:val="left"/>
              <w:rPr>
                <w:rFonts w:hint="eastAsia" w:ascii="仿宋" w:hAnsi="仿宋" w:eastAsia="仿宋" w:cs="仿宋"/>
                <w:szCs w:val="21"/>
                <w:lang w:eastAsia="zh-CN"/>
              </w:rPr>
            </w:pPr>
            <w:r>
              <w:rPr>
                <w:rFonts w:hint="eastAsia" w:ascii="仿宋" w:hAnsi="仿宋" w:eastAsia="仿宋" w:cs="仿宋"/>
                <w:szCs w:val="21"/>
                <w:lang w:eastAsia="zh-CN"/>
              </w:rPr>
              <w:t>公开负面清单；各系统平台运行情况</w:t>
            </w:r>
          </w:p>
        </w:tc>
      </w:tr>
      <w:tr w14:paraId="1F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70" w:type="dxa"/>
            <w:vMerge w:val="continue"/>
            <w:vAlign w:val="center"/>
          </w:tcPr>
          <w:p w14:paraId="752FE49D">
            <w:pPr>
              <w:spacing w:after="120"/>
              <w:ind w:left="420" w:leftChars="200"/>
              <w:jc w:val="center"/>
              <w:rPr>
                <w:rFonts w:hint="eastAsia" w:ascii="仿宋" w:hAnsi="仿宋" w:eastAsia="仿宋" w:cs="仿宋"/>
                <w:szCs w:val="21"/>
              </w:rPr>
            </w:pPr>
          </w:p>
        </w:tc>
        <w:tc>
          <w:tcPr>
            <w:tcW w:w="1375" w:type="dxa"/>
            <w:vMerge w:val="restart"/>
            <w:vAlign w:val="center"/>
          </w:tcPr>
          <w:p w14:paraId="67FFF794">
            <w:pPr>
              <w:spacing w:after="120"/>
              <w:rPr>
                <w:rFonts w:hint="eastAsia" w:ascii="仿宋" w:hAnsi="仿宋" w:eastAsia="仿宋" w:cs="仿宋"/>
                <w:szCs w:val="21"/>
                <w:lang w:eastAsia="zh-CN"/>
              </w:rPr>
            </w:pPr>
            <w:r>
              <w:rPr>
                <w:rFonts w:hint="eastAsia" w:ascii="仿宋" w:hAnsi="仿宋" w:eastAsia="仿宋" w:cs="仿宋"/>
                <w:szCs w:val="21"/>
                <w:lang w:eastAsia="zh-CN"/>
              </w:rPr>
              <w:t>（十）规范公共资源配置领域政府信息公开</w:t>
            </w:r>
          </w:p>
        </w:tc>
        <w:tc>
          <w:tcPr>
            <w:tcW w:w="3517" w:type="dxa"/>
            <w:vAlign w:val="center"/>
          </w:tcPr>
          <w:p w14:paraId="57C033B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20.依托吉林省公共资源交易平台，持续完善公共资源交易和配置领域政府信息公开目录</w:t>
            </w:r>
          </w:p>
        </w:tc>
        <w:tc>
          <w:tcPr>
            <w:tcW w:w="1695" w:type="dxa"/>
            <w:vMerge w:val="restart"/>
            <w:vAlign w:val="center"/>
          </w:tcPr>
          <w:p w14:paraId="19D9420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牵头部门：市政数局、市政府办公</w:t>
            </w:r>
          </w:p>
          <w:p w14:paraId="0716FF3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配合部门：市政府各相关部门</w:t>
            </w:r>
          </w:p>
          <w:p w14:paraId="76A1645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县（市）区政府</w:t>
            </w:r>
          </w:p>
        </w:tc>
        <w:tc>
          <w:tcPr>
            <w:tcW w:w="4888" w:type="dxa"/>
            <w:vMerge w:val="restart"/>
            <w:vAlign w:val="center"/>
          </w:tcPr>
          <w:p w14:paraId="077E61F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（31）按照《四平市公共资源配置领域政府信息公开质量考评工作实施办法》（四政公组办发〔2021〕8号）督促各相关部门抓好工作落实；</w:t>
            </w:r>
          </w:p>
          <w:p w14:paraId="044CBEC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（32）市公共资源交易管理中心严格按照《公共资源交易领域基层政务公开标准目录》，抓好交易平台公开内容监督和管理</w:t>
            </w:r>
          </w:p>
        </w:tc>
        <w:tc>
          <w:tcPr>
            <w:tcW w:w="1125" w:type="dxa"/>
            <w:vMerge w:val="restart"/>
            <w:vAlign w:val="center"/>
          </w:tcPr>
          <w:p w14:paraId="4256E522">
            <w:pPr>
              <w:spacing w:after="120"/>
              <w:jc w:val="left"/>
              <w:rPr>
                <w:rFonts w:hint="eastAsia" w:ascii="仿宋" w:hAnsi="仿宋" w:eastAsia="仿宋" w:cs="仿宋"/>
                <w:szCs w:val="21"/>
                <w:lang w:eastAsia="zh-CN"/>
              </w:rPr>
            </w:pPr>
            <w:r>
              <w:rPr>
                <w:rFonts w:hint="eastAsia" w:ascii="仿宋" w:hAnsi="仿宋" w:eastAsia="仿宋" w:cs="仿宋"/>
                <w:szCs w:val="21"/>
                <w:lang w:eastAsia="zh-CN"/>
              </w:rPr>
              <w:t>贯穿全年</w:t>
            </w:r>
          </w:p>
        </w:tc>
        <w:tc>
          <w:tcPr>
            <w:tcW w:w="1737" w:type="dxa"/>
            <w:vMerge w:val="restart"/>
            <w:vAlign w:val="center"/>
          </w:tcPr>
          <w:p w14:paraId="3256E40E">
            <w:pPr>
              <w:spacing w:after="120"/>
              <w:jc w:val="left"/>
              <w:rPr>
                <w:rFonts w:hint="eastAsia" w:ascii="仿宋" w:hAnsi="仿宋" w:eastAsia="仿宋" w:cs="仿宋"/>
                <w:szCs w:val="21"/>
                <w:lang w:eastAsia="zh-CN"/>
              </w:rPr>
            </w:pPr>
            <w:r>
              <w:rPr>
                <w:rFonts w:hint="eastAsia" w:ascii="仿宋" w:hAnsi="仿宋" w:eastAsia="仿宋" w:cs="仿宋"/>
                <w:szCs w:val="21"/>
                <w:lang w:eastAsia="zh-CN"/>
              </w:rPr>
              <w:t>全国公共资源交易平台（吉林省四平市）四平市公共资源交易中心网站</w:t>
            </w:r>
          </w:p>
        </w:tc>
      </w:tr>
      <w:tr w14:paraId="659C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70" w:type="dxa"/>
            <w:vMerge w:val="continue"/>
            <w:vAlign w:val="center"/>
          </w:tcPr>
          <w:p w14:paraId="298B38AF">
            <w:pPr>
              <w:spacing w:after="120"/>
              <w:ind w:left="420" w:leftChars="200"/>
              <w:jc w:val="center"/>
              <w:rPr>
                <w:rFonts w:hint="eastAsia" w:ascii="仿宋" w:hAnsi="仿宋" w:eastAsia="仿宋" w:cs="仿宋"/>
                <w:szCs w:val="21"/>
              </w:rPr>
            </w:pPr>
          </w:p>
        </w:tc>
        <w:tc>
          <w:tcPr>
            <w:tcW w:w="1375" w:type="dxa"/>
            <w:vMerge w:val="continue"/>
            <w:vAlign w:val="center"/>
          </w:tcPr>
          <w:p w14:paraId="0A29ED41">
            <w:pPr>
              <w:spacing w:after="120"/>
              <w:ind w:left="420" w:leftChars="200"/>
              <w:rPr>
                <w:rFonts w:hint="eastAsia" w:ascii="仿宋" w:hAnsi="仿宋" w:eastAsia="仿宋" w:cs="仿宋"/>
                <w:szCs w:val="21"/>
              </w:rPr>
            </w:pPr>
          </w:p>
        </w:tc>
        <w:tc>
          <w:tcPr>
            <w:tcW w:w="3517" w:type="dxa"/>
            <w:vAlign w:val="center"/>
          </w:tcPr>
          <w:p w14:paraId="744B11F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21.强化工程建设招投标全过程信息公开</w:t>
            </w:r>
          </w:p>
        </w:tc>
        <w:tc>
          <w:tcPr>
            <w:tcW w:w="1695" w:type="dxa"/>
            <w:vMerge w:val="continue"/>
            <w:vAlign w:val="center"/>
          </w:tcPr>
          <w:p w14:paraId="78C2D6D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Merge w:val="continue"/>
            <w:vAlign w:val="center"/>
          </w:tcPr>
          <w:p w14:paraId="5E54AC9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125" w:type="dxa"/>
            <w:vMerge w:val="continue"/>
            <w:vAlign w:val="center"/>
          </w:tcPr>
          <w:p w14:paraId="7D5DD8F4">
            <w:pPr>
              <w:spacing w:after="120"/>
              <w:ind w:left="420" w:leftChars="200"/>
              <w:jc w:val="left"/>
              <w:rPr>
                <w:rFonts w:hint="eastAsia" w:ascii="仿宋" w:hAnsi="仿宋" w:eastAsia="仿宋" w:cs="仿宋"/>
                <w:szCs w:val="21"/>
              </w:rPr>
            </w:pPr>
          </w:p>
        </w:tc>
        <w:tc>
          <w:tcPr>
            <w:tcW w:w="1737" w:type="dxa"/>
            <w:vMerge w:val="continue"/>
            <w:vAlign w:val="center"/>
          </w:tcPr>
          <w:p w14:paraId="25AF36E6">
            <w:pPr>
              <w:spacing w:after="120"/>
              <w:jc w:val="left"/>
              <w:rPr>
                <w:rFonts w:hint="eastAsia" w:ascii="仿宋" w:hAnsi="仿宋" w:eastAsia="仿宋" w:cs="仿宋"/>
                <w:szCs w:val="21"/>
                <w:lang w:eastAsia="zh-CN"/>
              </w:rPr>
            </w:pPr>
          </w:p>
        </w:tc>
      </w:tr>
      <w:tr w14:paraId="4874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70" w:type="dxa"/>
            <w:vMerge w:val="continue"/>
            <w:vAlign w:val="center"/>
          </w:tcPr>
          <w:p w14:paraId="6EAFD809">
            <w:pPr>
              <w:spacing w:after="120"/>
              <w:ind w:left="420" w:leftChars="200"/>
              <w:jc w:val="center"/>
              <w:rPr>
                <w:rFonts w:hint="eastAsia" w:ascii="仿宋" w:hAnsi="仿宋" w:eastAsia="仿宋" w:cs="仿宋"/>
                <w:szCs w:val="21"/>
              </w:rPr>
            </w:pPr>
          </w:p>
        </w:tc>
        <w:tc>
          <w:tcPr>
            <w:tcW w:w="1375" w:type="dxa"/>
            <w:vMerge w:val="continue"/>
            <w:vAlign w:val="center"/>
          </w:tcPr>
          <w:p w14:paraId="29D769FF">
            <w:pPr>
              <w:spacing w:after="120"/>
              <w:ind w:left="420" w:leftChars="200"/>
              <w:rPr>
                <w:rFonts w:hint="eastAsia" w:ascii="仿宋" w:hAnsi="仿宋" w:eastAsia="仿宋" w:cs="仿宋"/>
                <w:szCs w:val="21"/>
              </w:rPr>
            </w:pPr>
          </w:p>
        </w:tc>
        <w:tc>
          <w:tcPr>
            <w:tcW w:w="3517" w:type="dxa"/>
            <w:vAlign w:val="center"/>
          </w:tcPr>
          <w:p w14:paraId="57C689E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22.除涉及国家秘密、商业秘密外，以项目归集的方式，向社会公开政府采购信息</w:t>
            </w:r>
          </w:p>
        </w:tc>
        <w:tc>
          <w:tcPr>
            <w:tcW w:w="1695" w:type="dxa"/>
            <w:vMerge w:val="continue"/>
            <w:vAlign w:val="center"/>
          </w:tcPr>
          <w:p w14:paraId="2286D2D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Merge w:val="continue"/>
            <w:vAlign w:val="center"/>
          </w:tcPr>
          <w:p w14:paraId="08E6E2C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125" w:type="dxa"/>
            <w:vMerge w:val="continue"/>
            <w:vAlign w:val="center"/>
          </w:tcPr>
          <w:p w14:paraId="1EB35B8C">
            <w:pPr>
              <w:spacing w:after="120"/>
              <w:ind w:left="420" w:leftChars="200"/>
              <w:jc w:val="left"/>
              <w:rPr>
                <w:rFonts w:hint="eastAsia" w:ascii="仿宋" w:hAnsi="仿宋" w:eastAsia="仿宋" w:cs="仿宋"/>
                <w:szCs w:val="21"/>
              </w:rPr>
            </w:pPr>
          </w:p>
        </w:tc>
        <w:tc>
          <w:tcPr>
            <w:tcW w:w="1737" w:type="dxa"/>
            <w:vMerge w:val="continue"/>
            <w:vAlign w:val="center"/>
          </w:tcPr>
          <w:p w14:paraId="2837419C">
            <w:pPr>
              <w:spacing w:after="120"/>
              <w:jc w:val="left"/>
              <w:rPr>
                <w:rFonts w:hint="eastAsia" w:ascii="仿宋" w:hAnsi="仿宋" w:eastAsia="仿宋" w:cs="仿宋"/>
                <w:szCs w:val="21"/>
                <w:lang w:eastAsia="zh-CN"/>
              </w:rPr>
            </w:pPr>
          </w:p>
        </w:tc>
      </w:tr>
      <w:tr w14:paraId="754D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70" w:type="dxa"/>
            <w:vMerge w:val="continue"/>
            <w:vAlign w:val="center"/>
          </w:tcPr>
          <w:p w14:paraId="04C90768">
            <w:pPr>
              <w:spacing w:after="120"/>
              <w:ind w:left="420" w:leftChars="200"/>
              <w:jc w:val="center"/>
              <w:rPr>
                <w:rFonts w:hint="eastAsia" w:ascii="仿宋" w:hAnsi="仿宋" w:eastAsia="仿宋" w:cs="仿宋"/>
                <w:szCs w:val="21"/>
              </w:rPr>
            </w:pPr>
          </w:p>
        </w:tc>
        <w:tc>
          <w:tcPr>
            <w:tcW w:w="1375" w:type="dxa"/>
            <w:vMerge w:val="continue"/>
            <w:vAlign w:val="center"/>
          </w:tcPr>
          <w:p w14:paraId="44D1CB56">
            <w:pPr>
              <w:spacing w:after="120"/>
              <w:ind w:left="420" w:leftChars="200"/>
              <w:rPr>
                <w:rFonts w:hint="eastAsia" w:ascii="仿宋" w:hAnsi="仿宋" w:eastAsia="仿宋" w:cs="仿宋"/>
                <w:szCs w:val="21"/>
              </w:rPr>
            </w:pPr>
          </w:p>
        </w:tc>
        <w:tc>
          <w:tcPr>
            <w:tcW w:w="3517" w:type="dxa"/>
            <w:vAlign w:val="center"/>
          </w:tcPr>
          <w:p w14:paraId="1571606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23.加强信用记录、投诉举报处理结果、监管处罚等信息的集中公开</w:t>
            </w:r>
          </w:p>
        </w:tc>
        <w:tc>
          <w:tcPr>
            <w:tcW w:w="1695" w:type="dxa"/>
            <w:vMerge w:val="continue"/>
            <w:vAlign w:val="center"/>
          </w:tcPr>
          <w:p w14:paraId="7F21959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Merge w:val="continue"/>
            <w:vAlign w:val="center"/>
          </w:tcPr>
          <w:p w14:paraId="4D6A424F">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125" w:type="dxa"/>
            <w:vMerge w:val="continue"/>
            <w:vAlign w:val="center"/>
          </w:tcPr>
          <w:p w14:paraId="2FB365BC">
            <w:pPr>
              <w:spacing w:after="120"/>
              <w:ind w:left="420" w:leftChars="200"/>
              <w:jc w:val="left"/>
              <w:rPr>
                <w:rFonts w:hint="eastAsia" w:ascii="仿宋" w:hAnsi="仿宋" w:eastAsia="仿宋" w:cs="仿宋"/>
                <w:szCs w:val="21"/>
              </w:rPr>
            </w:pPr>
          </w:p>
        </w:tc>
        <w:tc>
          <w:tcPr>
            <w:tcW w:w="1737" w:type="dxa"/>
            <w:vMerge w:val="continue"/>
            <w:vAlign w:val="center"/>
          </w:tcPr>
          <w:p w14:paraId="35C8FD79">
            <w:pPr>
              <w:spacing w:after="120"/>
              <w:jc w:val="left"/>
              <w:rPr>
                <w:rFonts w:hint="eastAsia" w:ascii="仿宋" w:hAnsi="仿宋" w:eastAsia="仿宋" w:cs="仿宋"/>
                <w:szCs w:val="21"/>
                <w:lang w:eastAsia="zh-CN"/>
              </w:rPr>
            </w:pPr>
          </w:p>
        </w:tc>
      </w:tr>
      <w:tr w14:paraId="6C3E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0" w:type="dxa"/>
            <w:vAlign w:val="bottom"/>
          </w:tcPr>
          <w:p w14:paraId="706E41CA">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目    标</w:t>
            </w:r>
          </w:p>
        </w:tc>
        <w:tc>
          <w:tcPr>
            <w:tcW w:w="1375" w:type="dxa"/>
            <w:vAlign w:val="bottom"/>
          </w:tcPr>
          <w:p w14:paraId="2A72DB75">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主要任务</w:t>
            </w:r>
          </w:p>
        </w:tc>
        <w:tc>
          <w:tcPr>
            <w:tcW w:w="3517" w:type="dxa"/>
            <w:vAlign w:val="bottom"/>
          </w:tcPr>
          <w:p w14:paraId="0C714C53">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细化指标</w:t>
            </w:r>
          </w:p>
        </w:tc>
        <w:tc>
          <w:tcPr>
            <w:tcW w:w="1695" w:type="dxa"/>
            <w:vAlign w:val="bottom"/>
          </w:tcPr>
          <w:p w14:paraId="05D0424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责任单位</w:t>
            </w:r>
          </w:p>
        </w:tc>
        <w:tc>
          <w:tcPr>
            <w:tcW w:w="4888" w:type="dxa"/>
            <w:vAlign w:val="bottom"/>
          </w:tcPr>
          <w:p w14:paraId="24018E04">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default" w:ascii="黑体" w:hAnsi="黑体" w:eastAsia="黑体" w:cs="黑体"/>
                <w:kern w:val="2"/>
                <w:sz w:val="21"/>
                <w:szCs w:val="21"/>
                <w:lang w:val="en-US" w:eastAsia="zh-CN" w:bidi="ar-SA"/>
              </w:rPr>
            </w:pPr>
            <w:r>
              <w:rPr>
                <w:rFonts w:hint="eastAsia" w:ascii="黑体" w:hAnsi="黑体" w:eastAsia="黑体"/>
                <w:szCs w:val="21"/>
              </w:rPr>
              <w:t>工作措施</w:t>
            </w:r>
          </w:p>
        </w:tc>
        <w:tc>
          <w:tcPr>
            <w:tcW w:w="1125" w:type="dxa"/>
            <w:vAlign w:val="bottom"/>
          </w:tcPr>
          <w:p w14:paraId="13D90F5E">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完成时限</w:t>
            </w:r>
          </w:p>
        </w:tc>
        <w:tc>
          <w:tcPr>
            <w:tcW w:w="1737" w:type="dxa"/>
            <w:vAlign w:val="bottom"/>
          </w:tcPr>
          <w:p w14:paraId="7E976079">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2861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70" w:type="dxa"/>
            <w:vMerge w:val="restart"/>
            <w:vAlign w:val="center"/>
          </w:tcPr>
          <w:p w14:paraId="65BC200F">
            <w:pPr>
              <w:spacing w:after="120"/>
              <w:jc w:val="both"/>
              <w:rPr>
                <w:rFonts w:hint="eastAsia" w:ascii="仿宋" w:hAnsi="仿宋" w:eastAsia="仿宋" w:cs="仿宋"/>
                <w:szCs w:val="21"/>
              </w:rPr>
            </w:pPr>
            <w:r>
              <w:rPr>
                <w:rFonts w:hint="eastAsia" w:ascii="仿宋" w:hAnsi="仿宋" w:eastAsia="仿宋" w:cs="仿宋"/>
                <w:szCs w:val="21"/>
                <w:lang w:eastAsia="zh-CN"/>
              </w:rPr>
              <w:t>三、抓实重点领域</w:t>
            </w:r>
            <w:r>
              <w:rPr>
                <w:rFonts w:hint="eastAsia" w:ascii="仿宋" w:hAnsi="仿宋" w:eastAsia="仿宋" w:cs="仿宋"/>
                <w:szCs w:val="21"/>
              </w:rPr>
              <w:t>政府信息公开</w:t>
            </w:r>
          </w:p>
        </w:tc>
        <w:tc>
          <w:tcPr>
            <w:tcW w:w="1375" w:type="dxa"/>
            <w:vMerge w:val="restart"/>
            <w:vAlign w:val="center"/>
          </w:tcPr>
          <w:p w14:paraId="6D2D89D5">
            <w:pPr>
              <w:spacing w:after="120"/>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eastAsia="zh-CN"/>
              </w:rPr>
              <w:t>十一</w:t>
            </w:r>
            <w:r>
              <w:rPr>
                <w:rFonts w:hint="eastAsia" w:ascii="仿宋" w:hAnsi="仿宋" w:eastAsia="仿宋" w:cs="仿宋"/>
                <w:szCs w:val="21"/>
              </w:rPr>
              <w:t>）</w:t>
            </w:r>
            <w:r>
              <w:rPr>
                <w:rFonts w:hint="eastAsia" w:ascii="仿宋" w:hAnsi="仿宋" w:eastAsia="仿宋" w:cs="仿宋"/>
                <w:szCs w:val="21"/>
                <w:lang w:eastAsia="zh-CN"/>
              </w:rPr>
              <w:t>推进财税审计信息公开</w:t>
            </w:r>
          </w:p>
        </w:tc>
        <w:tc>
          <w:tcPr>
            <w:tcW w:w="3517" w:type="dxa"/>
            <w:vAlign w:val="center"/>
          </w:tcPr>
          <w:p w14:paraId="38DC475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24.持续推进财政预决算信息公开，覆盖范围包括部门所属单位</w:t>
            </w:r>
          </w:p>
        </w:tc>
        <w:tc>
          <w:tcPr>
            <w:tcW w:w="1695" w:type="dxa"/>
            <w:vAlign w:val="center"/>
          </w:tcPr>
          <w:p w14:paraId="350A30F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rPr>
              <w:t>牵头</w:t>
            </w:r>
            <w:r>
              <w:rPr>
                <w:rFonts w:hint="eastAsia" w:ascii="仿宋" w:hAnsi="仿宋" w:eastAsia="仿宋" w:cs="仿宋"/>
                <w:szCs w:val="21"/>
                <w:lang w:eastAsia="zh-CN"/>
              </w:rPr>
              <w:t>部门：</w:t>
            </w:r>
            <w:r>
              <w:rPr>
                <w:rFonts w:hint="eastAsia" w:ascii="仿宋" w:hAnsi="仿宋" w:eastAsia="仿宋" w:cs="仿宋"/>
                <w:szCs w:val="21"/>
              </w:rPr>
              <w:t>市</w:t>
            </w:r>
            <w:r>
              <w:rPr>
                <w:rFonts w:hint="eastAsia" w:ascii="仿宋" w:hAnsi="仿宋" w:eastAsia="仿宋" w:cs="仿宋"/>
                <w:szCs w:val="21"/>
                <w:lang w:eastAsia="zh-CN"/>
              </w:rPr>
              <w:t>财政局</w:t>
            </w:r>
          </w:p>
          <w:p w14:paraId="45CE1F2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市政府各部门同步落实</w:t>
            </w:r>
          </w:p>
          <w:p w14:paraId="749D937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Align w:val="center"/>
          </w:tcPr>
          <w:p w14:paraId="0F2BCFB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lang w:val="en-US" w:eastAsia="zh-CN"/>
              </w:rPr>
            </w:pPr>
            <w:r>
              <w:rPr>
                <w:rFonts w:hint="eastAsia" w:ascii="仿宋" w:hAnsi="仿宋" w:eastAsia="仿宋" w:cs="仿宋"/>
                <w:lang w:val="en-US" w:eastAsia="zh-CN"/>
              </w:rPr>
              <w:t>（33）市财政局抓统抓总，负责审核市政府各部门年度财政预算、决算情况，保持公开信息统分一致</w:t>
            </w:r>
          </w:p>
        </w:tc>
        <w:tc>
          <w:tcPr>
            <w:tcW w:w="1125" w:type="dxa"/>
            <w:vAlign w:val="center"/>
          </w:tcPr>
          <w:p w14:paraId="185C520A">
            <w:pPr>
              <w:spacing w:after="120"/>
              <w:jc w:val="both"/>
              <w:rPr>
                <w:rFonts w:hint="eastAsia" w:ascii="仿宋" w:hAnsi="仿宋" w:eastAsia="仿宋" w:cs="仿宋"/>
                <w:szCs w:val="21"/>
              </w:rPr>
            </w:pPr>
            <w:r>
              <w:rPr>
                <w:rFonts w:hint="eastAsia" w:ascii="仿宋" w:hAnsi="仿宋" w:eastAsia="仿宋" w:cs="仿宋"/>
                <w:szCs w:val="21"/>
              </w:rPr>
              <w:t>贯穿全年</w:t>
            </w:r>
          </w:p>
        </w:tc>
        <w:tc>
          <w:tcPr>
            <w:tcW w:w="1737" w:type="dxa"/>
            <w:vAlign w:val="center"/>
          </w:tcPr>
          <w:p w14:paraId="23DDB8B8">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政府信息公开专栏财政预决算主题栏</w:t>
            </w:r>
          </w:p>
        </w:tc>
      </w:tr>
      <w:tr w14:paraId="1341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70" w:type="dxa"/>
            <w:vMerge w:val="continue"/>
            <w:vAlign w:val="center"/>
          </w:tcPr>
          <w:p w14:paraId="1044582E">
            <w:pPr>
              <w:spacing w:after="120"/>
              <w:ind w:left="420" w:leftChars="200"/>
              <w:jc w:val="center"/>
              <w:rPr>
                <w:rFonts w:hint="eastAsia" w:ascii="仿宋" w:hAnsi="仿宋" w:eastAsia="仿宋" w:cs="仿宋"/>
                <w:szCs w:val="21"/>
              </w:rPr>
            </w:pPr>
          </w:p>
        </w:tc>
        <w:tc>
          <w:tcPr>
            <w:tcW w:w="1375" w:type="dxa"/>
            <w:vMerge w:val="continue"/>
            <w:vAlign w:val="center"/>
          </w:tcPr>
          <w:p w14:paraId="0D434950">
            <w:pPr>
              <w:spacing w:after="120"/>
              <w:rPr>
                <w:rFonts w:hint="eastAsia" w:ascii="仿宋" w:hAnsi="仿宋" w:eastAsia="仿宋" w:cs="仿宋"/>
                <w:szCs w:val="21"/>
              </w:rPr>
            </w:pPr>
          </w:p>
        </w:tc>
        <w:tc>
          <w:tcPr>
            <w:tcW w:w="3517" w:type="dxa"/>
            <w:vAlign w:val="center"/>
          </w:tcPr>
          <w:p w14:paraId="5E7C4A2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25.依法依规公开审计结果</w:t>
            </w:r>
          </w:p>
        </w:tc>
        <w:tc>
          <w:tcPr>
            <w:tcW w:w="1695" w:type="dxa"/>
            <w:vMerge w:val="restart"/>
            <w:vAlign w:val="center"/>
          </w:tcPr>
          <w:p w14:paraId="5DE6DB8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牵头部门：市审计局</w:t>
            </w:r>
          </w:p>
          <w:p w14:paraId="61F6273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配合部门：被审计相关单位</w:t>
            </w:r>
          </w:p>
          <w:p w14:paraId="7562F267">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sz w:val="21"/>
                <w:szCs w:val="21"/>
                <w:lang w:eastAsia="zh-CN"/>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3838339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lang w:val="en-US" w:eastAsia="zh-CN"/>
              </w:rPr>
              <w:t>（34）按照《审计法实施条例》和《审计机关通报和公布审计结果的规定》有关要求落实</w:t>
            </w:r>
          </w:p>
        </w:tc>
        <w:tc>
          <w:tcPr>
            <w:tcW w:w="1125" w:type="dxa"/>
            <w:vMerge w:val="restart"/>
            <w:vAlign w:val="center"/>
          </w:tcPr>
          <w:p w14:paraId="101EF252">
            <w:pPr>
              <w:spacing w:after="120"/>
              <w:jc w:val="both"/>
              <w:rPr>
                <w:rFonts w:hint="eastAsia" w:ascii="仿宋" w:hAnsi="仿宋" w:eastAsia="仿宋" w:cs="仿宋"/>
                <w:szCs w:val="21"/>
              </w:rPr>
            </w:pPr>
            <w:r>
              <w:rPr>
                <w:rFonts w:hint="eastAsia" w:ascii="仿宋" w:hAnsi="仿宋" w:eastAsia="仿宋" w:cs="仿宋"/>
                <w:szCs w:val="21"/>
              </w:rPr>
              <w:t>贯穿全年</w:t>
            </w:r>
          </w:p>
        </w:tc>
        <w:tc>
          <w:tcPr>
            <w:tcW w:w="1737" w:type="dxa"/>
            <w:vMerge w:val="restart"/>
            <w:vAlign w:val="center"/>
          </w:tcPr>
          <w:p w14:paraId="0A95E463">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政府信息公开专栏</w:t>
            </w:r>
          </w:p>
        </w:tc>
      </w:tr>
      <w:tr w14:paraId="1EF9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70" w:type="dxa"/>
            <w:vMerge w:val="continue"/>
            <w:vAlign w:val="center"/>
          </w:tcPr>
          <w:p w14:paraId="3E63A063">
            <w:pPr>
              <w:spacing w:after="120"/>
              <w:ind w:left="420" w:leftChars="200"/>
              <w:jc w:val="center"/>
              <w:rPr>
                <w:rFonts w:hint="eastAsia" w:ascii="仿宋" w:hAnsi="仿宋" w:eastAsia="仿宋" w:cs="仿宋"/>
                <w:szCs w:val="21"/>
              </w:rPr>
            </w:pPr>
          </w:p>
        </w:tc>
        <w:tc>
          <w:tcPr>
            <w:tcW w:w="1375" w:type="dxa"/>
            <w:vMerge w:val="continue"/>
            <w:vAlign w:val="center"/>
          </w:tcPr>
          <w:p w14:paraId="430769CC">
            <w:pPr>
              <w:spacing w:after="120"/>
              <w:rPr>
                <w:rFonts w:hint="eastAsia" w:ascii="仿宋" w:hAnsi="仿宋" w:eastAsia="仿宋" w:cs="仿宋"/>
                <w:szCs w:val="21"/>
              </w:rPr>
            </w:pPr>
          </w:p>
        </w:tc>
        <w:tc>
          <w:tcPr>
            <w:tcW w:w="3517" w:type="dxa"/>
            <w:vAlign w:val="center"/>
          </w:tcPr>
          <w:p w14:paraId="72E2C9D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26.被审计单位要对审计机关对外公告的单项审计结果，在本级政府网站及时、全面、准确地公开整改情况</w:t>
            </w:r>
          </w:p>
        </w:tc>
        <w:tc>
          <w:tcPr>
            <w:tcW w:w="1695" w:type="dxa"/>
            <w:vMerge w:val="continue"/>
            <w:vAlign w:val="center"/>
          </w:tcPr>
          <w:p w14:paraId="5565233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4888" w:type="dxa"/>
            <w:vMerge w:val="continue"/>
            <w:vAlign w:val="center"/>
          </w:tcPr>
          <w:p w14:paraId="651BAA9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125" w:type="dxa"/>
            <w:vMerge w:val="continue"/>
            <w:vAlign w:val="center"/>
          </w:tcPr>
          <w:p w14:paraId="2D317238">
            <w:pPr>
              <w:spacing w:after="120"/>
              <w:jc w:val="both"/>
              <w:rPr>
                <w:rFonts w:hint="eastAsia" w:ascii="仿宋" w:hAnsi="仿宋" w:eastAsia="仿宋" w:cs="仿宋"/>
                <w:szCs w:val="21"/>
              </w:rPr>
            </w:pPr>
          </w:p>
        </w:tc>
        <w:tc>
          <w:tcPr>
            <w:tcW w:w="1737" w:type="dxa"/>
            <w:vMerge w:val="continue"/>
            <w:vAlign w:val="center"/>
          </w:tcPr>
          <w:p w14:paraId="5593F035">
            <w:pPr>
              <w:spacing w:after="120"/>
              <w:jc w:val="both"/>
              <w:rPr>
                <w:rFonts w:hint="eastAsia" w:ascii="仿宋" w:hAnsi="仿宋" w:eastAsia="仿宋" w:cs="仿宋"/>
                <w:szCs w:val="21"/>
              </w:rPr>
            </w:pPr>
          </w:p>
        </w:tc>
      </w:tr>
      <w:tr w14:paraId="75EA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170" w:type="dxa"/>
            <w:vMerge w:val="continue"/>
            <w:vAlign w:val="center"/>
          </w:tcPr>
          <w:p w14:paraId="7160F2AD">
            <w:pPr>
              <w:spacing w:after="120"/>
              <w:ind w:left="420" w:leftChars="200"/>
              <w:jc w:val="center"/>
              <w:rPr>
                <w:rFonts w:hint="eastAsia" w:ascii="仿宋" w:hAnsi="仿宋" w:eastAsia="仿宋" w:cs="仿宋"/>
                <w:szCs w:val="21"/>
              </w:rPr>
            </w:pPr>
          </w:p>
        </w:tc>
        <w:tc>
          <w:tcPr>
            <w:tcW w:w="1375" w:type="dxa"/>
            <w:vMerge w:val="continue"/>
            <w:vAlign w:val="center"/>
          </w:tcPr>
          <w:p w14:paraId="78692EA3">
            <w:pPr>
              <w:spacing w:after="120"/>
              <w:rPr>
                <w:rFonts w:hint="eastAsia" w:ascii="仿宋" w:hAnsi="仿宋" w:eastAsia="仿宋" w:cs="仿宋"/>
                <w:szCs w:val="21"/>
              </w:rPr>
            </w:pPr>
          </w:p>
        </w:tc>
        <w:tc>
          <w:tcPr>
            <w:tcW w:w="3517" w:type="dxa"/>
            <w:vAlign w:val="center"/>
          </w:tcPr>
          <w:p w14:paraId="0C30BCD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27.建立税收优惠政策咨询和辅导机制，精准推送涉企惠企减税降费政策，特别是大规模增值税留抵退税政策，让基层执行机关和纳税人缴费人应知尽知、应享尽享</w:t>
            </w:r>
          </w:p>
        </w:tc>
        <w:tc>
          <w:tcPr>
            <w:tcW w:w="1695" w:type="dxa"/>
            <w:vMerge w:val="restart"/>
            <w:vAlign w:val="center"/>
          </w:tcPr>
          <w:p w14:paraId="6388638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牵头部门：税务局</w:t>
            </w:r>
          </w:p>
          <w:p w14:paraId="73948B2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Align w:val="center"/>
          </w:tcPr>
          <w:p w14:paraId="13238F0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（35）依托税务网站完善统一规范的税费政策库，动态更新并免费开放；</w:t>
            </w:r>
          </w:p>
          <w:p w14:paraId="7FEBB0CF">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val="en-US" w:eastAsia="zh-CN"/>
              </w:rPr>
              <w:t>（36）优化12366纳税服务平台智能咨询功能，智能推送减税降费政策</w:t>
            </w:r>
          </w:p>
        </w:tc>
        <w:tc>
          <w:tcPr>
            <w:tcW w:w="1125" w:type="dxa"/>
            <w:vMerge w:val="restart"/>
            <w:vAlign w:val="center"/>
          </w:tcPr>
          <w:p w14:paraId="21429DC7">
            <w:pPr>
              <w:spacing w:after="120"/>
              <w:jc w:val="both"/>
              <w:rPr>
                <w:rFonts w:hint="eastAsia" w:ascii="仿宋" w:hAnsi="仿宋" w:eastAsia="仿宋" w:cs="仿宋"/>
                <w:szCs w:val="21"/>
              </w:rPr>
            </w:pPr>
            <w:r>
              <w:rPr>
                <w:rFonts w:hint="eastAsia" w:ascii="仿宋" w:hAnsi="仿宋" w:eastAsia="仿宋" w:cs="仿宋"/>
                <w:szCs w:val="21"/>
              </w:rPr>
              <w:t>贯穿全年</w:t>
            </w:r>
          </w:p>
        </w:tc>
        <w:tc>
          <w:tcPr>
            <w:tcW w:w="1737" w:type="dxa"/>
            <w:vMerge w:val="restart"/>
            <w:vAlign w:val="center"/>
          </w:tcPr>
          <w:p w14:paraId="758EBBED">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税务局网站和企业信用信息网站</w:t>
            </w:r>
          </w:p>
        </w:tc>
      </w:tr>
      <w:tr w14:paraId="3327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70" w:type="dxa"/>
            <w:vMerge w:val="continue"/>
            <w:vAlign w:val="center"/>
          </w:tcPr>
          <w:p w14:paraId="36DC963A">
            <w:pPr>
              <w:spacing w:after="120"/>
              <w:ind w:left="420" w:leftChars="200"/>
              <w:jc w:val="center"/>
              <w:rPr>
                <w:rFonts w:hint="eastAsia" w:ascii="仿宋" w:hAnsi="仿宋" w:eastAsia="仿宋" w:cs="仿宋"/>
                <w:szCs w:val="21"/>
              </w:rPr>
            </w:pPr>
          </w:p>
        </w:tc>
        <w:tc>
          <w:tcPr>
            <w:tcW w:w="1375" w:type="dxa"/>
            <w:vMerge w:val="continue"/>
            <w:vAlign w:val="center"/>
          </w:tcPr>
          <w:p w14:paraId="243366C0">
            <w:pPr>
              <w:spacing w:after="120"/>
              <w:rPr>
                <w:rFonts w:hint="eastAsia" w:ascii="仿宋" w:hAnsi="仿宋" w:eastAsia="仿宋" w:cs="仿宋"/>
                <w:szCs w:val="21"/>
              </w:rPr>
            </w:pPr>
          </w:p>
        </w:tc>
        <w:tc>
          <w:tcPr>
            <w:tcW w:w="3517" w:type="dxa"/>
            <w:vAlign w:val="center"/>
          </w:tcPr>
          <w:p w14:paraId="33CAE2A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28.加大重大税收违法失信案件曝光力度，引导市场主体规范健康发展</w:t>
            </w:r>
          </w:p>
        </w:tc>
        <w:tc>
          <w:tcPr>
            <w:tcW w:w="1695" w:type="dxa"/>
            <w:vMerge w:val="continue"/>
            <w:vAlign w:val="center"/>
          </w:tcPr>
          <w:p w14:paraId="6E5918C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4888" w:type="dxa"/>
            <w:vAlign w:val="center"/>
          </w:tcPr>
          <w:p w14:paraId="4406339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37</w:t>
            </w:r>
            <w:r>
              <w:rPr>
                <w:rFonts w:hint="eastAsia" w:ascii="仿宋" w:hAnsi="仿宋" w:eastAsia="仿宋" w:cs="仿宋"/>
                <w:szCs w:val="21"/>
                <w:lang w:eastAsia="zh-CN"/>
              </w:rPr>
              <w:t>）落实“分级分类”监管职责，加强信用监管</w:t>
            </w:r>
          </w:p>
        </w:tc>
        <w:tc>
          <w:tcPr>
            <w:tcW w:w="1125" w:type="dxa"/>
            <w:vMerge w:val="continue"/>
            <w:vAlign w:val="center"/>
          </w:tcPr>
          <w:p w14:paraId="6F1FE3A2">
            <w:pPr>
              <w:spacing w:after="120"/>
              <w:jc w:val="both"/>
              <w:rPr>
                <w:rFonts w:hint="eastAsia" w:ascii="仿宋" w:hAnsi="仿宋" w:eastAsia="仿宋" w:cs="仿宋"/>
                <w:szCs w:val="21"/>
              </w:rPr>
            </w:pPr>
          </w:p>
        </w:tc>
        <w:tc>
          <w:tcPr>
            <w:tcW w:w="1737" w:type="dxa"/>
            <w:vMerge w:val="continue"/>
            <w:vAlign w:val="center"/>
          </w:tcPr>
          <w:p w14:paraId="7E8FE57C">
            <w:pPr>
              <w:spacing w:after="120"/>
              <w:jc w:val="both"/>
              <w:rPr>
                <w:rFonts w:hint="eastAsia" w:ascii="仿宋" w:hAnsi="仿宋" w:eastAsia="仿宋" w:cs="仿宋"/>
                <w:szCs w:val="21"/>
              </w:rPr>
            </w:pPr>
          </w:p>
        </w:tc>
      </w:tr>
      <w:tr w14:paraId="3C08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170" w:type="dxa"/>
            <w:vMerge w:val="continue"/>
            <w:vAlign w:val="bottom"/>
          </w:tcPr>
          <w:p w14:paraId="053D460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375" w:type="dxa"/>
            <w:vMerge w:val="restart"/>
            <w:vAlign w:val="center"/>
          </w:tcPr>
          <w:p w14:paraId="2FC753D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黑体" w:hAnsi="黑体" w:eastAsia="黑体"/>
                <w:szCs w:val="21"/>
              </w:rPr>
            </w:pPr>
            <w:r>
              <w:rPr>
                <w:rFonts w:hint="eastAsia" w:ascii="仿宋" w:hAnsi="仿宋" w:eastAsia="仿宋" w:cs="仿宋"/>
                <w:szCs w:val="21"/>
              </w:rPr>
              <w:t>（</w:t>
            </w:r>
            <w:r>
              <w:rPr>
                <w:rFonts w:hint="eastAsia" w:ascii="仿宋" w:hAnsi="仿宋" w:eastAsia="仿宋" w:cs="仿宋"/>
                <w:szCs w:val="21"/>
                <w:lang w:eastAsia="zh-CN"/>
              </w:rPr>
              <w:t>十二</w:t>
            </w:r>
            <w:r>
              <w:rPr>
                <w:rFonts w:hint="eastAsia" w:ascii="仿宋" w:hAnsi="仿宋" w:eastAsia="仿宋" w:cs="仿宋"/>
                <w:szCs w:val="21"/>
              </w:rPr>
              <w:t>）</w:t>
            </w:r>
            <w:r>
              <w:rPr>
                <w:rFonts w:hint="eastAsia" w:ascii="仿宋" w:hAnsi="仿宋" w:eastAsia="仿宋" w:cs="仿宋"/>
                <w:szCs w:val="21"/>
                <w:lang w:eastAsia="zh-CN"/>
              </w:rPr>
              <w:t>加强涉及扩大有效投资的信息公开</w:t>
            </w:r>
          </w:p>
        </w:tc>
        <w:tc>
          <w:tcPr>
            <w:tcW w:w="3517" w:type="dxa"/>
            <w:vAlign w:val="center"/>
          </w:tcPr>
          <w:p w14:paraId="1ED8B3B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29.依法依规做好扩大有效投资相关规划、法规、政策及重大建设项目信息公开，积极引导市场预期</w:t>
            </w:r>
          </w:p>
        </w:tc>
        <w:tc>
          <w:tcPr>
            <w:tcW w:w="1695" w:type="dxa"/>
            <w:vMerge w:val="restart"/>
            <w:vAlign w:val="center"/>
          </w:tcPr>
          <w:p w14:paraId="7500369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牵头部门：市发改委</w:t>
            </w:r>
          </w:p>
          <w:p w14:paraId="27420BF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配合部门：市政府各相关部门</w:t>
            </w:r>
          </w:p>
          <w:p w14:paraId="469A939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205EBC9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（38）依托市政府网站信息公开专栏、市发改委、市项目中心网站，定期将扩大有效投资、推动重大项目建设等相关政策信息进行公开。</w:t>
            </w:r>
          </w:p>
          <w:p w14:paraId="7CDEC74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lang w:val="en-US" w:eastAsia="zh-CN"/>
              </w:rPr>
            </w:pPr>
            <w:r>
              <w:rPr>
                <w:rFonts w:hint="eastAsia" w:ascii="仿宋" w:hAnsi="仿宋" w:eastAsia="仿宋" w:cs="仿宋"/>
                <w:szCs w:val="21"/>
                <w:lang w:val="en-US" w:eastAsia="zh-CN"/>
              </w:rPr>
              <w:t>（39）及时受理公众通过线上或线下申请公开的重大项目建设情况，在规定的工作日内予以答复。</w:t>
            </w:r>
          </w:p>
        </w:tc>
        <w:tc>
          <w:tcPr>
            <w:tcW w:w="1125" w:type="dxa"/>
            <w:vMerge w:val="restart"/>
            <w:vAlign w:val="center"/>
          </w:tcPr>
          <w:p w14:paraId="22EFC0F1">
            <w:pPr>
              <w:spacing w:after="120"/>
              <w:jc w:val="both"/>
              <w:rPr>
                <w:rFonts w:hint="eastAsia" w:ascii="仿宋" w:hAnsi="仿宋" w:eastAsia="仿宋" w:cs="仿宋"/>
                <w:kern w:val="2"/>
                <w:sz w:val="21"/>
                <w:szCs w:val="21"/>
                <w:lang w:val="en-US" w:eastAsia="zh-CN" w:bidi="ar-SA"/>
              </w:rPr>
            </w:pPr>
            <w:r>
              <w:rPr>
                <w:rFonts w:hint="eastAsia" w:ascii="仿宋" w:hAnsi="仿宋" w:eastAsia="仿宋" w:cs="仿宋"/>
                <w:szCs w:val="21"/>
              </w:rPr>
              <w:t xml:space="preserve">贯穿全年 </w:t>
            </w:r>
          </w:p>
        </w:tc>
        <w:tc>
          <w:tcPr>
            <w:tcW w:w="1737" w:type="dxa"/>
            <w:vMerge w:val="restart"/>
            <w:vAlign w:val="center"/>
          </w:tcPr>
          <w:p w14:paraId="08437F3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政府信息公开专栏、市发改委网站</w:t>
            </w:r>
          </w:p>
          <w:p w14:paraId="2D1DE1D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color w:val="000000" w:themeColor="text1"/>
                <w:highlight w:val="none"/>
                <w:lang w:val="en-US" w:eastAsia="zh-CN"/>
                <w14:textFill>
                  <w14:solidFill>
                    <w14:schemeClr w14:val="tx1"/>
                  </w14:solidFill>
                </w14:textFill>
              </w:rPr>
              <w:t>依申请答复意见书</w:t>
            </w:r>
          </w:p>
        </w:tc>
      </w:tr>
      <w:tr w14:paraId="7A45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70" w:type="dxa"/>
            <w:vMerge w:val="continue"/>
            <w:vAlign w:val="bottom"/>
          </w:tcPr>
          <w:p w14:paraId="545D8E8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375" w:type="dxa"/>
            <w:vMerge w:val="continue"/>
            <w:vAlign w:val="bottom"/>
          </w:tcPr>
          <w:p w14:paraId="353A7423">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3517" w:type="dxa"/>
            <w:vAlign w:val="center"/>
          </w:tcPr>
          <w:p w14:paraId="745CBE1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30.及时回应社会公众对于重大建设项目的关切，有效防范化解风险</w:t>
            </w:r>
          </w:p>
        </w:tc>
        <w:tc>
          <w:tcPr>
            <w:tcW w:w="1695" w:type="dxa"/>
            <w:vMerge w:val="continue"/>
            <w:vAlign w:val="center"/>
          </w:tcPr>
          <w:p w14:paraId="0E55483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4888" w:type="dxa"/>
            <w:vMerge w:val="continue"/>
            <w:vAlign w:val="center"/>
          </w:tcPr>
          <w:p w14:paraId="788505B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1125" w:type="dxa"/>
            <w:vMerge w:val="continue"/>
            <w:vAlign w:val="center"/>
          </w:tcPr>
          <w:p w14:paraId="59D1102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1737" w:type="dxa"/>
            <w:vMerge w:val="continue"/>
            <w:vAlign w:val="center"/>
          </w:tcPr>
          <w:p w14:paraId="6198655F">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r>
      <w:tr w14:paraId="5744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Merge w:val="continue"/>
            <w:vAlign w:val="bottom"/>
          </w:tcPr>
          <w:p w14:paraId="36AAEB75">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1375" w:type="dxa"/>
            <w:vMerge w:val="continue"/>
            <w:vAlign w:val="bottom"/>
          </w:tcPr>
          <w:p w14:paraId="5AAE7E9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szCs w:val="21"/>
              </w:rPr>
            </w:pPr>
          </w:p>
        </w:tc>
        <w:tc>
          <w:tcPr>
            <w:tcW w:w="3517" w:type="dxa"/>
            <w:vAlign w:val="center"/>
          </w:tcPr>
          <w:p w14:paraId="656A3C3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31.聚焦基础设施补短板等重大民生领域，进一步加大政策解读力度、加强政策咨询服务，以更加有效、更高质量的信息公开推动扩大有效投资</w:t>
            </w:r>
          </w:p>
        </w:tc>
        <w:tc>
          <w:tcPr>
            <w:tcW w:w="1695" w:type="dxa"/>
            <w:vMerge w:val="continue"/>
            <w:vAlign w:val="center"/>
          </w:tcPr>
          <w:p w14:paraId="533CA96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4888" w:type="dxa"/>
            <w:vMerge w:val="continue"/>
            <w:vAlign w:val="center"/>
          </w:tcPr>
          <w:p w14:paraId="26D4269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1125" w:type="dxa"/>
            <w:vMerge w:val="continue"/>
            <w:vAlign w:val="center"/>
          </w:tcPr>
          <w:p w14:paraId="0B13B75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1737" w:type="dxa"/>
            <w:vMerge w:val="continue"/>
            <w:vAlign w:val="center"/>
          </w:tcPr>
          <w:p w14:paraId="14B5123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r>
      <w:tr w14:paraId="747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Align w:val="bottom"/>
          </w:tcPr>
          <w:p w14:paraId="2E020F2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目    标</w:t>
            </w:r>
          </w:p>
        </w:tc>
        <w:tc>
          <w:tcPr>
            <w:tcW w:w="1375" w:type="dxa"/>
            <w:vAlign w:val="bottom"/>
          </w:tcPr>
          <w:p w14:paraId="276CDD2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主要任务</w:t>
            </w:r>
          </w:p>
        </w:tc>
        <w:tc>
          <w:tcPr>
            <w:tcW w:w="3517" w:type="dxa"/>
            <w:vAlign w:val="bottom"/>
          </w:tcPr>
          <w:p w14:paraId="64DBCC34">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细化指标</w:t>
            </w:r>
          </w:p>
        </w:tc>
        <w:tc>
          <w:tcPr>
            <w:tcW w:w="1695" w:type="dxa"/>
            <w:vAlign w:val="bottom"/>
          </w:tcPr>
          <w:p w14:paraId="30223DCB">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责任单位</w:t>
            </w:r>
          </w:p>
        </w:tc>
        <w:tc>
          <w:tcPr>
            <w:tcW w:w="4888" w:type="dxa"/>
            <w:vAlign w:val="bottom"/>
          </w:tcPr>
          <w:p w14:paraId="59B2E4F7">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工作措施</w:t>
            </w:r>
          </w:p>
        </w:tc>
        <w:tc>
          <w:tcPr>
            <w:tcW w:w="1125" w:type="dxa"/>
            <w:vAlign w:val="bottom"/>
          </w:tcPr>
          <w:p w14:paraId="24FAEF74">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完成时限</w:t>
            </w:r>
          </w:p>
        </w:tc>
        <w:tc>
          <w:tcPr>
            <w:tcW w:w="1737" w:type="dxa"/>
            <w:vAlign w:val="bottom"/>
          </w:tcPr>
          <w:p w14:paraId="0BB3FA6B">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5366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170" w:type="dxa"/>
            <w:vMerge w:val="restart"/>
            <w:vAlign w:val="center"/>
          </w:tcPr>
          <w:p w14:paraId="6FE5A350">
            <w:pPr>
              <w:spacing w:after="120"/>
              <w:rPr>
                <w:rFonts w:hint="eastAsia" w:ascii="仿宋" w:hAnsi="仿宋" w:eastAsia="仿宋" w:cs="仿宋"/>
                <w:szCs w:val="21"/>
              </w:rPr>
            </w:pPr>
            <w:r>
              <w:rPr>
                <w:rFonts w:hint="eastAsia" w:ascii="仿宋" w:hAnsi="仿宋" w:eastAsia="仿宋" w:cs="仿宋"/>
                <w:szCs w:val="21"/>
                <w:lang w:eastAsia="zh-CN"/>
              </w:rPr>
              <w:t>三、抓实重点领域</w:t>
            </w:r>
            <w:r>
              <w:rPr>
                <w:rFonts w:hint="eastAsia" w:ascii="仿宋" w:hAnsi="仿宋" w:eastAsia="仿宋" w:cs="仿宋"/>
                <w:szCs w:val="21"/>
              </w:rPr>
              <w:t>政府信息公开</w:t>
            </w:r>
          </w:p>
        </w:tc>
        <w:tc>
          <w:tcPr>
            <w:tcW w:w="1375" w:type="dxa"/>
            <w:vMerge w:val="restart"/>
            <w:vAlign w:val="center"/>
          </w:tcPr>
          <w:p w14:paraId="7B6C6865">
            <w:pPr>
              <w:spacing w:after="120"/>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（十三）强化稳就业信息公开</w:t>
            </w:r>
          </w:p>
          <w:p w14:paraId="39874D0A">
            <w:pPr>
              <w:spacing w:after="120"/>
              <w:rPr>
                <w:rFonts w:hint="eastAsia" w:ascii="仿宋" w:hAnsi="仿宋" w:eastAsia="仿宋" w:cs="仿宋"/>
                <w:szCs w:val="21"/>
                <w:lang w:eastAsia="zh-CN"/>
              </w:rPr>
            </w:pPr>
          </w:p>
        </w:tc>
        <w:tc>
          <w:tcPr>
            <w:tcW w:w="3517" w:type="dxa"/>
            <w:vAlign w:val="bottom"/>
          </w:tcPr>
          <w:p w14:paraId="6AA29664">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32.加强政策宣讲推送，将政府出台的灵活就业支持政策，及时传达至农民工、城镇就业困难人员、个体工商户等相关群体，助力就业创业</w:t>
            </w:r>
          </w:p>
        </w:tc>
        <w:tc>
          <w:tcPr>
            <w:tcW w:w="1695" w:type="dxa"/>
            <w:vMerge w:val="restart"/>
            <w:vAlign w:val="center"/>
          </w:tcPr>
          <w:p w14:paraId="056E5664">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落实部门：市人社局</w:t>
            </w:r>
          </w:p>
          <w:p w14:paraId="413016F4">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val="en-US" w:eastAsia="zh-CN"/>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5077D238">
            <w:pPr>
              <w:spacing w:after="120" w:line="240" w:lineRule="exact"/>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val="en-US" w:eastAsia="zh-CN"/>
              </w:rPr>
              <w:t>40</w:t>
            </w:r>
            <w:r>
              <w:rPr>
                <w:rFonts w:hint="eastAsia" w:ascii="仿宋" w:hAnsi="仿宋" w:eastAsia="仿宋" w:cs="仿宋"/>
                <w:szCs w:val="21"/>
              </w:rPr>
              <w:t>）利用</w:t>
            </w:r>
            <w:r>
              <w:rPr>
                <w:rFonts w:ascii="仿宋" w:hAnsi="仿宋" w:eastAsia="仿宋" w:cs="仿宋"/>
                <w:szCs w:val="21"/>
              </w:rPr>
              <w:t>门户网站、微信平台、政策宣传单形式开展社保补贴政策线上线下宣传活动；</w:t>
            </w:r>
            <w:r>
              <w:rPr>
                <w:rFonts w:hint="eastAsia" w:ascii="仿宋" w:hAnsi="仿宋" w:eastAsia="仿宋" w:cs="仿宋"/>
                <w:szCs w:val="21"/>
              </w:rPr>
              <w:t>指导</w:t>
            </w:r>
            <w:r>
              <w:rPr>
                <w:rFonts w:ascii="仿宋" w:hAnsi="仿宋" w:eastAsia="仿宋" w:cs="仿宋"/>
                <w:szCs w:val="21"/>
              </w:rPr>
              <w:t>基层公共服务平台做好就业困难人员</w:t>
            </w:r>
            <w:r>
              <w:rPr>
                <w:rFonts w:hint="eastAsia" w:ascii="仿宋" w:hAnsi="仿宋" w:eastAsia="仿宋" w:cs="仿宋"/>
                <w:szCs w:val="21"/>
              </w:rPr>
              <w:t>认定</w:t>
            </w:r>
            <w:r>
              <w:rPr>
                <w:rFonts w:ascii="仿宋" w:hAnsi="仿宋" w:eastAsia="仿宋" w:cs="仿宋"/>
                <w:szCs w:val="21"/>
              </w:rPr>
              <w:t>工作；</w:t>
            </w:r>
            <w:r>
              <w:rPr>
                <w:rFonts w:hint="eastAsia" w:ascii="仿宋" w:hAnsi="仿宋" w:eastAsia="仿宋" w:cs="仿宋"/>
                <w:szCs w:val="21"/>
              </w:rPr>
              <w:t>通过96885平台</w:t>
            </w:r>
            <w:r>
              <w:rPr>
                <w:rFonts w:ascii="仿宋" w:hAnsi="仿宋" w:eastAsia="仿宋" w:cs="仿宋"/>
                <w:szCs w:val="21"/>
              </w:rPr>
              <w:t>，把技能培训相关政策及</w:t>
            </w:r>
            <w:r>
              <w:rPr>
                <w:rFonts w:hint="eastAsia" w:ascii="仿宋" w:hAnsi="仿宋" w:eastAsia="仿宋" w:cs="仿宋"/>
                <w:szCs w:val="21"/>
              </w:rPr>
              <w:t>培训</w:t>
            </w:r>
            <w:r>
              <w:rPr>
                <w:rFonts w:ascii="仿宋" w:hAnsi="仿宋" w:eastAsia="仿宋" w:cs="仿宋"/>
                <w:szCs w:val="21"/>
              </w:rPr>
              <w:t>学校的招生信息及时传递给有培训意愿的人</w:t>
            </w:r>
            <w:r>
              <w:rPr>
                <w:rFonts w:hint="eastAsia" w:ascii="仿宋" w:hAnsi="仿宋" w:eastAsia="仿宋" w:cs="仿宋"/>
                <w:szCs w:val="21"/>
                <w:lang w:eastAsia="zh-CN"/>
              </w:rPr>
              <w:t>；</w:t>
            </w:r>
          </w:p>
          <w:p w14:paraId="79B43D02">
            <w:pPr>
              <w:spacing w:after="120" w:line="240" w:lineRule="exact"/>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val="en-US" w:eastAsia="zh-CN"/>
              </w:rPr>
              <w:t>41</w:t>
            </w:r>
            <w:r>
              <w:rPr>
                <w:rFonts w:hint="eastAsia" w:ascii="仿宋" w:hAnsi="仿宋" w:eastAsia="仿宋" w:cs="仿宋"/>
                <w:szCs w:val="21"/>
              </w:rPr>
              <w:t>）通过官网、微信公众号广泛宣传省厅出台社会保险费缓缴、降费、稳岗返还政策</w:t>
            </w:r>
            <w:r>
              <w:rPr>
                <w:rFonts w:hint="eastAsia" w:ascii="仿宋" w:hAnsi="仿宋" w:eastAsia="仿宋" w:cs="仿宋"/>
                <w:szCs w:val="21"/>
                <w:lang w:eastAsia="zh-CN"/>
              </w:rPr>
              <w:t>；</w:t>
            </w:r>
          </w:p>
          <w:p w14:paraId="2E6C3E31">
            <w:pPr>
              <w:spacing w:after="120" w:line="220" w:lineRule="exact"/>
              <w:rPr>
                <w:rFonts w:hint="default" w:ascii="仿宋" w:hAnsi="仿宋" w:eastAsia="仿宋" w:cs="仿宋"/>
                <w:szCs w:val="21"/>
                <w:lang w:val="en-US" w:eastAsia="zh-CN"/>
              </w:rPr>
            </w:pPr>
            <w:r>
              <w:rPr>
                <w:rFonts w:hint="eastAsia" w:ascii="仿宋" w:hAnsi="仿宋" w:eastAsia="仿宋" w:cs="仿宋"/>
                <w:szCs w:val="21"/>
              </w:rPr>
              <w:t>（</w:t>
            </w:r>
            <w:r>
              <w:rPr>
                <w:rFonts w:hint="eastAsia" w:ascii="仿宋" w:hAnsi="仿宋" w:eastAsia="仿宋" w:cs="仿宋"/>
                <w:szCs w:val="21"/>
                <w:lang w:val="en-US" w:eastAsia="zh-CN"/>
              </w:rPr>
              <w:t>42</w:t>
            </w:r>
            <w:r>
              <w:rPr>
                <w:rFonts w:hint="eastAsia" w:ascii="仿宋" w:hAnsi="仿宋" w:eastAsia="仿宋" w:cs="仿宋"/>
                <w:szCs w:val="21"/>
              </w:rPr>
              <w:t>）定期发布职业技能培训新政策，公布培训机构及培训项目；按照《关于印发&lt;吉林省就业补助资金管理办法&gt;的通知》（吉财社[2019]591号）经办流程开展各类职业技能培训</w:t>
            </w:r>
          </w:p>
        </w:tc>
        <w:tc>
          <w:tcPr>
            <w:tcW w:w="1125" w:type="dxa"/>
            <w:vMerge w:val="restart"/>
            <w:vAlign w:val="center"/>
          </w:tcPr>
          <w:p w14:paraId="65CA3827">
            <w:pPr>
              <w:spacing w:after="120"/>
              <w:jc w:val="both"/>
              <w:rPr>
                <w:rFonts w:hint="eastAsia" w:ascii="仿宋" w:hAnsi="仿宋" w:eastAsia="仿宋" w:cs="仿宋"/>
                <w:szCs w:val="21"/>
              </w:rPr>
            </w:pPr>
            <w:r>
              <w:rPr>
                <w:rFonts w:hint="eastAsia" w:ascii="仿宋" w:hAnsi="仿宋" w:eastAsia="仿宋" w:cs="仿宋"/>
                <w:szCs w:val="21"/>
              </w:rPr>
              <w:t>贯穿全年</w:t>
            </w:r>
          </w:p>
        </w:tc>
        <w:tc>
          <w:tcPr>
            <w:tcW w:w="1737" w:type="dxa"/>
            <w:vMerge w:val="restart"/>
            <w:vAlign w:val="center"/>
          </w:tcPr>
          <w:p w14:paraId="563BDBF4">
            <w:pPr>
              <w:spacing w:after="120"/>
              <w:rPr>
                <w:rFonts w:ascii="仿宋" w:hAnsi="仿宋" w:eastAsia="仿宋" w:cs="仿宋"/>
                <w:szCs w:val="21"/>
              </w:rPr>
            </w:pPr>
            <w:r>
              <w:rPr>
                <w:rFonts w:hint="eastAsia" w:ascii="仿宋" w:hAnsi="仿宋" w:eastAsia="仿宋" w:cs="仿宋"/>
                <w:szCs w:val="21"/>
              </w:rPr>
              <w:t>市人社局、市社保局官网及微信公众号；</w:t>
            </w:r>
          </w:p>
          <w:p w14:paraId="533B0BB1">
            <w:pPr>
              <w:spacing w:after="120"/>
              <w:jc w:val="both"/>
              <w:rPr>
                <w:rFonts w:hint="eastAsia" w:ascii="仿宋" w:hAnsi="仿宋" w:eastAsia="仿宋" w:cs="仿宋"/>
                <w:szCs w:val="21"/>
              </w:rPr>
            </w:pPr>
            <w:r>
              <w:rPr>
                <w:rFonts w:hint="eastAsia" w:ascii="仿宋" w:hAnsi="仿宋" w:eastAsia="仿宋" w:cs="仿宋"/>
                <w:szCs w:val="21"/>
              </w:rPr>
              <w:t>9</w:t>
            </w:r>
            <w:r>
              <w:rPr>
                <w:rFonts w:ascii="仿宋" w:hAnsi="仿宋" w:eastAsia="仿宋" w:cs="仿宋"/>
                <w:szCs w:val="21"/>
              </w:rPr>
              <w:t>6885“</w:t>
            </w:r>
            <w:r>
              <w:rPr>
                <w:rFonts w:hint="eastAsia" w:ascii="仿宋" w:hAnsi="仿宋" w:eastAsia="仿宋" w:cs="仿宋"/>
                <w:szCs w:val="21"/>
              </w:rPr>
              <w:t>吉人在线“平台。</w:t>
            </w:r>
          </w:p>
        </w:tc>
      </w:tr>
      <w:tr w14:paraId="3D33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70" w:type="dxa"/>
            <w:vMerge w:val="continue"/>
            <w:vAlign w:val="center"/>
          </w:tcPr>
          <w:p w14:paraId="15C960EA">
            <w:pPr>
              <w:spacing w:after="120"/>
              <w:ind w:left="420" w:leftChars="200"/>
              <w:jc w:val="center"/>
              <w:rPr>
                <w:rFonts w:hint="eastAsia" w:ascii="仿宋" w:hAnsi="仿宋" w:eastAsia="仿宋" w:cs="仿宋"/>
                <w:szCs w:val="21"/>
              </w:rPr>
            </w:pPr>
          </w:p>
        </w:tc>
        <w:tc>
          <w:tcPr>
            <w:tcW w:w="1375" w:type="dxa"/>
            <w:vMerge w:val="continue"/>
            <w:vAlign w:val="center"/>
          </w:tcPr>
          <w:p w14:paraId="3D07C5F5">
            <w:pPr>
              <w:spacing w:after="120"/>
              <w:ind w:left="420" w:leftChars="200"/>
              <w:jc w:val="center"/>
              <w:rPr>
                <w:rFonts w:hint="eastAsia" w:ascii="仿宋" w:hAnsi="仿宋" w:eastAsia="仿宋" w:cs="仿宋"/>
                <w:szCs w:val="21"/>
              </w:rPr>
            </w:pPr>
          </w:p>
        </w:tc>
        <w:tc>
          <w:tcPr>
            <w:tcW w:w="3517" w:type="dxa"/>
            <w:vAlign w:val="bottom"/>
          </w:tcPr>
          <w:p w14:paraId="3BA98218">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33.加大减负稳岗扩就业政策解读和培训工作力度，重点对基层执行机关开展政策培训</w:t>
            </w:r>
          </w:p>
        </w:tc>
        <w:tc>
          <w:tcPr>
            <w:tcW w:w="1695" w:type="dxa"/>
            <w:vMerge w:val="continue"/>
            <w:vAlign w:val="center"/>
          </w:tcPr>
          <w:p w14:paraId="3549C5F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Merge w:val="continue"/>
            <w:vAlign w:val="center"/>
          </w:tcPr>
          <w:p w14:paraId="6156821A">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kern w:val="2"/>
                <w:sz w:val="21"/>
                <w:szCs w:val="21"/>
                <w:lang w:val="en-US" w:eastAsia="zh-CN" w:bidi="ar-SA"/>
              </w:rPr>
            </w:pPr>
          </w:p>
        </w:tc>
        <w:tc>
          <w:tcPr>
            <w:tcW w:w="1125" w:type="dxa"/>
            <w:vMerge w:val="continue"/>
            <w:vAlign w:val="center"/>
          </w:tcPr>
          <w:p w14:paraId="2940E5EE">
            <w:pPr>
              <w:spacing w:after="120"/>
              <w:ind w:left="420" w:leftChars="200"/>
              <w:jc w:val="center"/>
              <w:rPr>
                <w:rFonts w:hint="eastAsia" w:ascii="仿宋" w:hAnsi="仿宋" w:eastAsia="仿宋" w:cs="仿宋"/>
                <w:szCs w:val="21"/>
              </w:rPr>
            </w:pPr>
          </w:p>
        </w:tc>
        <w:tc>
          <w:tcPr>
            <w:tcW w:w="1737" w:type="dxa"/>
            <w:vMerge w:val="continue"/>
            <w:vAlign w:val="center"/>
          </w:tcPr>
          <w:p w14:paraId="59D878FD">
            <w:pPr>
              <w:spacing w:after="120"/>
              <w:ind w:left="420" w:leftChars="200"/>
              <w:jc w:val="center"/>
              <w:rPr>
                <w:rFonts w:hint="eastAsia" w:ascii="仿宋" w:hAnsi="仿宋" w:eastAsia="仿宋" w:cs="仿宋"/>
                <w:szCs w:val="21"/>
              </w:rPr>
            </w:pPr>
          </w:p>
        </w:tc>
      </w:tr>
      <w:tr w14:paraId="611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70" w:type="dxa"/>
            <w:vMerge w:val="continue"/>
            <w:vAlign w:val="center"/>
          </w:tcPr>
          <w:p w14:paraId="2EF64F1D">
            <w:pPr>
              <w:spacing w:after="120"/>
              <w:ind w:left="420" w:leftChars="200"/>
              <w:jc w:val="center"/>
              <w:rPr>
                <w:rFonts w:hint="eastAsia" w:ascii="仿宋" w:hAnsi="仿宋" w:eastAsia="仿宋" w:cs="仿宋"/>
                <w:szCs w:val="21"/>
              </w:rPr>
            </w:pPr>
          </w:p>
        </w:tc>
        <w:tc>
          <w:tcPr>
            <w:tcW w:w="1375" w:type="dxa"/>
            <w:vMerge w:val="continue"/>
            <w:vAlign w:val="center"/>
          </w:tcPr>
          <w:p w14:paraId="571B4CFE">
            <w:pPr>
              <w:spacing w:after="120"/>
              <w:ind w:left="420" w:leftChars="200"/>
              <w:jc w:val="center"/>
              <w:rPr>
                <w:rFonts w:hint="eastAsia" w:ascii="仿宋" w:hAnsi="仿宋" w:eastAsia="仿宋" w:cs="仿宋"/>
                <w:szCs w:val="21"/>
              </w:rPr>
            </w:pPr>
          </w:p>
        </w:tc>
        <w:tc>
          <w:tcPr>
            <w:tcW w:w="3517" w:type="dxa"/>
            <w:vAlign w:val="center"/>
          </w:tcPr>
          <w:p w14:paraId="4FA62502">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34.动态公开技能培训政策规定及经办流程，让更多群众能够知悉获得就业培训机会</w:t>
            </w:r>
          </w:p>
        </w:tc>
        <w:tc>
          <w:tcPr>
            <w:tcW w:w="1695" w:type="dxa"/>
            <w:vMerge w:val="continue"/>
            <w:vAlign w:val="center"/>
          </w:tcPr>
          <w:p w14:paraId="4FB7CE4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Merge w:val="continue"/>
            <w:vAlign w:val="center"/>
          </w:tcPr>
          <w:p w14:paraId="29298A3F">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kern w:val="2"/>
                <w:sz w:val="21"/>
                <w:szCs w:val="21"/>
                <w:lang w:val="en-US" w:eastAsia="zh-CN" w:bidi="ar-SA"/>
              </w:rPr>
            </w:pPr>
          </w:p>
        </w:tc>
        <w:tc>
          <w:tcPr>
            <w:tcW w:w="1125" w:type="dxa"/>
            <w:vMerge w:val="continue"/>
            <w:vAlign w:val="center"/>
          </w:tcPr>
          <w:p w14:paraId="2CF2DF98">
            <w:pPr>
              <w:spacing w:after="120"/>
              <w:ind w:left="420" w:leftChars="200"/>
              <w:jc w:val="center"/>
              <w:rPr>
                <w:rFonts w:hint="eastAsia" w:ascii="仿宋" w:hAnsi="仿宋" w:eastAsia="仿宋" w:cs="仿宋"/>
                <w:szCs w:val="21"/>
              </w:rPr>
            </w:pPr>
          </w:p>
        </w:tc>
        <w:tc>
          <w:tcPr>
            <w:tcW w:w="1737" w:type="dxa"/>
            <w:vMerge w:val="continue"/>
            <w:vAlign w:val="center"/>
          </w:tcPr>
          <w:p w14:paraId="15D9F2D9">
            <w:pPr>
              <w:spacing w:after="120"/>
              <w:ind w:left="420" w:leftChars="200"/>
              <w:jc w:val="center"/>
              <w:rPr>
                <w:rFonts w:hint="eastAsia" w:ascii="仿宋" w:hAnsi="仿宋" w:eastAsia="仿宋" w:cs="仿宋"/>
                <w:szCs w:val="21"/>
              </w:rPr>
            </w:pPr>
          </w:p>
        </w:tc>
      </w:tr>
      <w:tr w14:paraId="4445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70" w:type="dxa"/>
            <w:vMerge w:val="continue"/>
            <w:vAlign w:val="center"/>
          </w:tcPr>
          <w:p w14:paraId="585ED147">
            <w:pPr>
              <w:spacing w:after="120"/>
              <w:ind w:left="420" w:leftChars="200"/>
              <w:jc w:val="center"/>
              <w:rPr>
                <w:rFonts w:hint="eastAsia" w:ascii="仿宋" w:hAnsi="仿宋" w:eastAsia="仿宋" w:cs="仿宋"/>
                <w:szCs w:val="21"/>
              </w:rPr>
            </w:pPr>
          </w:p>
        </w:tc>
        <w:tc>
          <w:tcPr>
            <w:tcW w:w="1375" w:type="dxa"/>
            <w:vMerge w:val="restart"/>
            <w:vAlign w:val="center"/>
          </w:tcPr>
          <w:p w14:paraId="3933B907">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（十四）推进生态环境信息公开</w:t>
            </w:r>
          </w:p>
        </w:tc>
        <w:tc>
          <w:tcPr>
            <w:tcW w:w="3517" w:type="dxa"/>
            <w:vAlign w:val="center"/>
          </w:tcPr>
          <w:p w14:paraId="4C91712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35.及时公开围绕蓝天、碧水、净土的污染源监测及污染防治信息，及时发布本市污染防治工作情况和阶段性进展</w:t>
            </w:r>
          </w:p>
        </w:tc>
        <w:tc>
          <w:tcPr>
            <w:tcW w:w="1695" w:type="dxa"/>
            <w:vMerge w:val="restart"/>
            <w:vAlign w:val="center"/>
          </w:tcPr>
          <w:p w14:paraId="4CDA68E5">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落实部门：市生态环境局</w:t>
            </w:r>
          </w:p>
          <w:p w14:paraId="11CB1F8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24A5975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（43）深入打好污染防治攻坚战，及时发布我市年度重点排污单位、环境信息强制披露单位等内容</w:t>
            </w:r>
          </w:p>
          <w:p w14:paraId="3FE5BEE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（44）在规定时间内通过四平市生态环境局官网及其他平台对生态环境行政处罚和“双随机”抽查信息进行公示</w:t>
            </w:r>
          </w:p>
          <w:p w14:paraId="4BAB5FA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（45）及时做好中央和省级生态环境保护督察及“回头看”反馈意见整改方案编制印发和公示工作</w:t>
            </w:r>
          </w:p>
          <w:p w14:paraId="7829D6A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kern w:val="2"/>
                <w:sz w:val="21"/>
                <w:szCs w:val="21"/>
                <w:lang w:val="en-US" w:eastAsia="zh-CN" w:bidi="ar-SA"/>
              </w:rPr>
              <w:t>（46）定期调度督察整改进展情况并上报省督察办，按照省督察办要求及时公示督察进展情况</w:t>
            </w:r>
          </w:p>
        </w:tc>
        <w:tc>
          <w:tcPr>
            <w:tcW w:w="1125" w:type="dxa"/>
            <w:vMerge w:val="restart"/>
            <w:vAlign w:val="center"/>
          </w:tcPr>
          <w:p w14:paraId="62BC1DB2">
            <w:pPr>
              <w:spacing w:after="120"/>
              <w:jc w:val="both"/>
              <w:rPr>
                <w:rFonts w:hint="eastAsia" w:ascii="仿宋" w:hAnsi="仿宋" w:eastAsia="仿宋" w:cs="仿宋"/>
                <w:szCs w:val="21"/>
              </w:rPr>
            </w:pPr>
            <w:r>
              <w:rPr>
                <w:rFonts w:hint="eastAsia" w:ascii="仿宋" w:hAnsi="仿宋" w:eastAsia="仿宋" w:cs="仿宋"/>
                <w:szCs w:val="21"/>
                <w:lang w:eastAsia="zh-CN"/>
              </w:rPr>
              <w:t>贯穿全年</w:t>
            </w:r>
          </w:p>
        </w:tc>
        <w:tc>
          <w:tcPr>
            <w:tcW w:w="1737" w:type="dxa"/>
            <w:vMerge w:val="restart"/>
            <w:vAlign w:val="center"/>
          </w:tcPr>
          <w:p w14:paraId="27B59136">
            <w:pPr>
              <w:spacing w:after="12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四平市生态环境局网站，专题专栏；</w:t>
            </w:r>
          </w:p>
          <w:p w14:paraId="6CC1B95F">
            <w:pPr>
              <w:spacing w:after="120"/>
              <w:jc w:val="both"/>
              <w:rPr>
                <w:rFonts w:hint="eastAsia" w:ascii="仿宋" w:hAnsi="仿宋" w:eastAsia="仿宋" w:cs="仿宋"/>
                <w:szCs w:val="21"/>
              </w:rPr>
            </w:pPr>
            <w:r>
              <w:rPr>
                <w:rFonts w:hint="eastAsia" w:ascii="仿宋" w:hAnsi="仿宋" w:eastAsia="仿宋" w:cs="仿宋"/>
                <w:kern w:val="2"/>
                <w:sz w:val="21"/>
                <w:szCs w:val="21"/>
                <w:lang w:val="en-US" w:eastAsia="zh-CN" w:bidi="ar-SA"/>
              </w:rPr>
              <w:t>政府信息公开专栏；</w:t>
            </w:r>
          </w:p>
        </w:tc>
      </w:tr>
      <w:tr w14:paraId="22A9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70" w:type="dxa"/>
            <w:vMerge w:val="continue"/>
            <w:vAlign w:val="center"/>
          </w:tcPr>
          <w:p w14:paraId="3738FFD6">
            <w:pPr>
              <w:spacing w:after="120"/>
              <w:ind w:left="420" w:leftChars="200"/>
              <w:jc w:val="center"/>
              <w:rPr>
                <w:rFonts w:hint="eastAsia" w:ascii="仿宋" w:hAnsi="仿宋" w:eastAsia="仿宋" w:cs="仿宋"/>
                <w:szCs w:val="21"/>
              </w:rPr>
            </w:pPr>
          </w:p>
        </w:tc>
        <w:tc>
          <w:tcPr>
            <w:tcW w:w="1375" w:type="dxa"/>
            <w:vMerge w:val="continue"/>
            <w:vAlign w:val="center"/>
          </w:tcPr>
          <w:p w14:paraId="1A7C2CBD">
            <w:pPr>
              <w:spacing w:after="120"/>
              <w:ind w:left="420" w:leftChars="200"/>
              <w:rPr>
                <w:rFonts w:hint="eastAsia" w:ascii="仿宋" w:hAnsi="仿宋" w:eastAsia="仿宋" w:cs="仿宋"/>
                <w:szCs w:val="21"/>
              </w:rPr>
            </w:pPr>
          </w:p>
        </w:tc>
        <w:tc>
          <w:tcPr>
            <w:tcW w:w="3517" w:type="dxa"/>
            <w:vAlign w:val="center"/>
          </w:tcPr>
          <w:p w14:paraId="2D75CFF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36.及时公开生态环境行政处罚和“双随机”抽查信息</w:t>
            </w:r>
          </w:p>
        </w:tc>
        <w:tc>
          <w:tcPr>
            <w:tcW w:w="1695" w:type="dxa"/>
            <w:vMerge w:val="continue"/>
            <w:vAlign w:val="center"/>
          </w:tcPr>
          <w:p w14:paraId="645390AF">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Merge w:val="continue"/>
            <w:vAlign w:val="center"/>
          </w:tcPr>
          <w:p w14:paraId="4173D27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125" w:type="dxa"/>
            <w:vMerge w:val="continue"/>
            <w:vAlign w:val="center"/>
          </w:tcPr>
          <w:p w14:paraId="577C39DE">
            <w:pPr>
              <w:spacing w:after="120"/>
              <w:ind w:left="420" w:leftChars="200"/>
              <w:jc w:val="left"/>
              <w:rPr>
                <w:rFonts w:hint="eastAsia" w:ascii="仿宋" w:hAnsi="仿宋" w:eastAsia="仿宋" w:cs="仿宋"/>
                <w:szCs w:val="21"/>
              </w:rPr>
            </w:pPr>
          </w:p>
        </w:tc>
        <w:tc>
          <w:tcPr>
            <w:tcW w:w="1737" w:type="dxa"/>
            <w:vMerge w:val="continue"/>
            <w:vAlign w:val="center"/>
          </w:tcPr>
          <w:p w14:paraId="7D730799">
            <w:pPr>
              <w:spacing w:after="120"/>
              <w:jc w:val="left"/>
              <w:rPr>
                <w:rFonts w:hint="eastAsia" w:ascii="仿宋" w:hAnsi="仿宋" w:eastAsia="仿宋" w:cs="仿宋"/>
                <w:szCs w:val="21"/>
                <w:lang w:eastAsia="zh-CN"/>
              </w:rPr>
            </w:pPr>
          </w:p>
        </w:tc>
      </w:tr>
      <w:tr w14:paraId="3126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70" w:type="dxa"/>
            <w:vMerge w:val="continue"/>
            <w:vAlign w:val="center"/>
          </w:tcPr>
          <w:p w14:paraId="266D31E1">
            <w:pPr>
              <w:spacing w:after="120"/>
              <w:ind w:left="420" w:leftChars="200"/>
              <w:jc w:val="center"/>
              <w:rPr>
                <w:rFonts w:hint="eastAsia" w:ascii="仿宋" w:hAnsi="仿宋" w:eastAsia="仿宋" w:cs="仿宋"/>
                <w:szCs w:val="21"/>
              </w:rPr>
            </w:pPr>
          </w:p>
        </w:tc>
        <w:tc>
          <w:tcPr>
            <w:tcW w:w="1375" w:type="dxa"/>
            <w:vMerge w:val="continue"/>
            <w:vAlign w:val="center"/>
          </w:tcPr>
          <w:p w14:paraId="70D59074">
            <w:pPr>
              <w:spacing w:after="120"/>
              <w:ind w:left="420" w:leftChars="200"/>
              <w:rPr>
                <w:rFonts w:hint="eastAsia" w:ascii="仿宋" w:hAnsi="仿宋" w:eastAsia="仿宋" w:cs="仿宋"/>
                <w:szCs w:val="21"/>
              </w:rPr>
            </w:pPr>
          </w:p>
        </w:tc>
        <w:tc>
          <w:tcPr>
            <w:tcW w:w="3517" w:type="dxa"/>
            <w:vAlign w:val="center"/>
          </w:tcPr>
          <w:p w14:paraId="35B4FD9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color w:val="000000" w:themeColor="text1"/>
                <w:szCs w:val="21"/>
                <w:lang w:val="en-US" w:eastAsia="zh-CN"/>
                <w14:textFill>
                  <w14:solidFill>
                    <w14:schemeClr w14:val="tx1"/>
                  </w14:solidFill>
                </w14:textFill>
              </w:rPr>
              <w:t>37.</w:t>
            </w:r>
            <w:r>
              <w:rPr>
                <w:rFonts w:hint="eastAsia" w:ascii="仿宋" w:hAnsi="仿宋" w:eastAsia="仿宋" w:cs="仿宋"/>
                <w:szCs w:val="21"/>
                <w:lang w:val="en-US" w:eastAsia="zh-CN"/>
              </w:rPr>
              <w:t>公开中央和省级生态环境保护督查情况和发现问题整改情况</w:t>
            </w:r>
          </w:p>
        </w:tc>
        <w:tc>
          <w:tcPr>
            <w:tcW w:w="1695" w:type="dxa"/>
            <w:vMerge w:val="continue"/>
            <w:vAlign w:val="center"/>
          </w:tcPr>
          <w:p w14:paraId="0166CE9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Merge w:val="continue"/>
            <w:vAlign w:val="center"/>
          </w:tcPr>
          <w:p w14:paraId="67758F4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125" w:type="dxa"/>
            <w:vMerge w:val="continue"/>
            <w:vAlign w:val="center"/>
          </w:tcPr>
          <w:p w14:paraId="15BD05DC">
            <w:pPr>
              <w:spacing w:after="120"/>
              <w:ind w:left="420" w:leftChars="200"/>
              <w:jc w:val="left"/>
              <w:rPr>
                <w:rFonts w:hint="eastAsia" w:ascii="仿宋" w:hAnsi="仿宋" w:eastAsia="仿宋" w:cs="仿宋"/>
                <w:szCs w:val="21"/>
              </w:rPr>
            </w:pPr>
          </w:p>
        </w:tc>
        <w:tc>
          <w:tcPr>
            <w:tcW w:w="1737" w:type="dxa"/>
            <w:vMerge w:val="continue"/>
            <w:vAlign w:val="center"/>
          </w:tcPr>
          <w:p w14:paraId="3E6649D3">
            <w:pPr>
              <w:spacing w:after="120"/>
              <w:jc w:val="left"/>
              <w:rPr>
                <w:rFonts w:hint="eastAsia" w:ascii="仿宋" w:hAnsi="仿宋" w:eastAsia="仿宋" w:cs="仿宋"/>
                <w:szCs w:val="21"/>
                <w:lang w:eastAsia="zh-CN"/>
              </w:rPr>
            </w:pPr>
          </w:p>
        </w:tc>
      </w:tr>
      <w:tr w14:paraId="1B40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70" w:type="dxa"/>
            <w:vMerge w:val="continue"/>
            <w:vAlign w:val="center"/>
          </w:tcPr>
          <w:p w14:paraId="4948B572">
            <w:pPr>
              <w:spacing w:after="120"/>
              <w:ind w:left="420" w:leftChars="200"/>
              <w:jc w:val="center"/>
              <w:rPr>
                <w:rFonts w:hint="eastAsia" w:ascii="仿宋" w:hAnsi="仿宋" w:eastAsia="仿宋" w:cs="仿宋"/>
                <w:szCs w:val="21"/>
              </w:rPr>
            </w:pPr>
          </w:p>
        </w:tc>
        <w:tc>
          <w:tcPr>
            <w:tcW w:w="1375" w:type="dxa"/>
            <w:vMerge w:val="restart"/>
            <w:vAlign w:val="center"/>
          </w:tcPr>
          <w:p w14:paraId="41D4D5D0">
            <w:pPr>
              <w:spacing w:after="120"/>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eastAsia="zh-CN"/>
              </w:rPr>
              <w:t>十五</w:t>
            </w:r>
            <w:r>
              <w:rPr>
                <w:rFonts w:hint="eastAsia" w:ascii="仿宋" w:hAnsi="仿宋" w:eastAsia="仿宋" w:cs="仿宋"/>
                <w:szCs w:val="21"/>
              </w:rPr>
              <w:t>）</w:t>
            </w:r>
            <w:r>
              <w:rPr>
                <w:rFonts w:hint="eastAsia" w:ascii="仿宋" w:hAnsi="仿宋" w:eastAsia="仿宋" w:cs="仿宋"/>
                <w:szCs w:val="21"/>
                <w:lang w:eastAsia="zh-CN"/>
              </w:rPr>
              <w:t>持续做好疫情防控信息公开</w:t>
            </w:r>
          </w:p>
        </w:tc>
        <w:tc>
          <w:tcPr>
            <w:tcW w:w="3517" w:type="dxa"/>
            <w:vAlign w:val="center"/>
          </w:tcPr>
          <w:p w14:paraId="76D77CD3">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38.统筹做好疫情防控信息发布工作，依法及时发布本地疫情信息，加大解读力度，及时权威回应涉疫舆情</w:t>
            </w:r>
          </w:p>
        </w:tc>
        <w:tc>
          <w:tcPr>
            <w:tcW w:w="1695" w:type="dxa"/>
            <w:vMerge w:val="restart"/>
            <w:vAlign w:val="center"/>
          </w:tcPr>
          <w:p w14:paraId="72FBCBEB">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eastAsia="zh-CN"/>
              </w:rPr>
            </w:pPr>
            <w:r>
              <w:rPr>
                <w:rFonts w:hint="eastAsia" w:ascii="仿宋" w:hAnsi="仿宋" w:eastAsia="仿宋" w:cs="仿宋"/>
                <w:szCs w:val="21"/>
              </w:rPr>
              <w:t>牵头部门：市</w:t>
            </w:r>
            <w:r>
              <w:rPr>
                <w:rFonts w:hint="eastAsia" w:ascii="仿宋" w:hAnsi="仿宋" w:eastAsia="仿宋" w:cs="仿宋"/>
                <w:szCs w:val="21"/>
                <w:lang w:eastAsia="zh-CN"/>
              </w:rPr>
              <w:t>卫健委</w:t>
            </w:r>
          </w:p>
          <w:p w14:paraId="2A637231">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eastAsia="zh-CN"/>
              </w:rPr>
            </w:pPr>
            <w:r>
              <w:rPr>
                <w:rFonts w:hint="eastAsia" w:ascii="仿宋" w:hAnsi="仿宋" w:eastAsia="仿宋" w:cs="仿宋"/>
                <w:szCs w:val="21"/>
              </w:rPr>
              <w:t>配合部门：</w:t>
            </w:r>
            <w:r>
              <w:rPr>
                <w:rFonts w:hint="eastAsia" w:ascii="仿宋" w:hAnsi="仿宋" w:eastAsia="仿宋" w:cs="仿宋"/>
                <w:szCs w:val="21"/>
                <w:lang w:eastAsia="zh-CN"/>
              </w:rPr>
              <w:t>市网监办、市公安局等相关部门</w:t>
            </w:r>
          </w:p>
          <w:p w14:paraId="120CF6FF">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11D9CF78">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（47）建立健全疫情信息发布工作机制，由市疫情防控指挥部扎口统一口径，保持工作指令和政府信息一致</w:t>
            </w:r>
          </w:p>
          <w:p w14:paraId="5A37E80A">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（48）市卫健委作为市疫情防控领导小组办公室，负责牵头维护市门户网站“疫情发布”专栏的信息更新</w:t>
            </w:r>
          </w:p>
          <w:p w14:paraId="7FEE7782">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 w:val="21"/>
                <w:szCs w:val="21"/>
                <w:lang w:eastAsia="zh-CN"/>
              </w:rPr>
            </w:pPr>
            <w:r>
              <w:rPr>
                <w:rFonts w:hint="eastAsia" w:ascii="仿宋" w:hAnsi="仿宋" w:eastAsia="仿宋" w:cs="仿宋"/>
                <w:szCs w:val="21"/>
                <w:lang w:val="en-US" w:eastAsia="zh-CN"/>
              </w:rPr>
              <w:t>（49）规范信息发布平台，利用四平市人民政府新闻发布会、门户网站、政务新媒体等平台权威公开</w:t>
            </w:r>
          </w:p>
        </w:tc>
        <w:tc>
          <w:tcPr>
            <w:tcW w:w="1125" w:type="dxa"/>
            <w:vMerge w:val="restart"/>
            <w:vAlign w:val="center"/>
          </w:tcPr>
          <w:p w14:paraId="69320568">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贯穿全年</w:t>
            </w:r>
          </w:p>
        </w:tc>
        <w:tc>
          <w:tcPr>
            <w:tcW w:w="1737" w:type="dxa"/>
            <w:vMerge w:val="restart"/>
            <w:vAlign w:val="center"/>
          </w:tcPr>
          <w:p w14:paraId="12DD7F54">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疫情通报流程；</w:t>
            </w:r>
          </w:p>
          <w:p w14:paraId="2A44FB65">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信息发布流程；</w:t>
            </w:r>
          </w:p>
          <w:p w14:paraId="2FBDBD48">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 w:val="21"/>
                <w:szCs w:val="21"/>
                <w:lang w:eastAsia="zh-CN"/>
              </w:rPr>
            </w:pPr>
            <w:r>
              <w:rPr>
                <w:rFonts w:hint="eastAsia" w:ascii="仿宋" w:hAnsi="仿宋" w:eastAsia="仿宋" w:cs="仿宋"/>
                <w:szCs w:val="21"/>
                <w:lang w:val="en-US" w:eastAsia="zh-CN"/>
              </w:rPr>
              <w:t>门户网站“疫情发布”“新闻发布会”及其他政务新媒体平台发布信息情况</w:t>
            </w:r>
          </w:p>
        </w:tc>
      </w:tr>
      <w:tr w14:paraId="4273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0" w:type="dxa"/>
            <w:vMerge w:val="continue"/>
            <w:vAlign w:val="center"/>
          </w:tcPr>
          <w:p w14:paraId="69B6834C">
            <w:pPr>
              <w:spacing w:after="120"/>
              <w:ind w:left="420" w:leftChars="200"/>
              <w:jc w:val="center"/>
              <w:rPr>
                <w:rFonts w:hint="eastAsia" w:ascii="仿宋" w:hAnsi="仿宋" w:eastAsia="仿宋" w:cs="仿宋"/>
                <w:szCs w:val="21"/>
              </w:rPr>
            </w:pPr>
          </w:p>
        </w:tc>
        <w:tc>
          <w:tcPr>
            <w:tcW w:w="1375" w:type="dxa"/>
            <w:vMerge w:val="continue"/>
            <w:vAlign w:val="center"/>
          </w:tcPr>
          <w:p w14:paraId="3779956C">
            <w:pPr>
              <w:spacing w:after="120"/>
              <w:rPr>
                <w:rFonts w:hint="eastAsia" w:ascii="仿宋" w:hAnsi="仿宋" w:eastAsia="仿宋" w:cs="仿宋"/>
                <w:szCs w:val="21"/>
              </w:rPr>
            </w:pPr>
          </w:p>
        </w:tc>
        <w:tc>
          <w:tcPr>
            <w:tcW w:w="3517" w:type="dxa"/>
            <w:vAlign w:val="center"/>
          </w:tcPr>
          <w:p w14:paraId="7392E67B">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39.加强疫情防控信息发布工作协调，进一步规范流调信息发布和管理，保护好个人隐私</w:t>
            </w:r>
          </w:p>
        </w:tc>
        <w:tc>
          <w:tcPr>
            <w:tcW w:w="1695" w:type="dxa"/>
            <w:vMerge w:val="continue"/>
            <w:vAlign w:val="center"/>
          </w:tcPr>
          <w:p w14:paraId="47855DDF">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rPr>
            </w:pPr>
          </w:p>
        </w:tc>
        <w:tc>
          <w:tcPr>
            <w:tcW w:w="4888" w:type="dxa"/>
            <w:vMerge w:val="continue"/>
            <w:vAlign w:val="center"/>
          </w:tcPr>
          <w:p w14:paraId="05472D6A">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eastAsia="zh-CN"/>
              </w:rPr>
            </w:pPr>
          </w:p>
        </w:tc>
        <w:tc>
          <w:tcPr>
            <w:tcW w:w="1125" w:type="dxa"/>
            <w:vMerge w:val="continue"/>
            <w:vAlign w:val="center"/>
          </w:tcPr>
          <w:p w14:paraId="0735F185">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rPr>
            </w:pPr>
          </w:p>
        </w:tc>
        <w:tc>
          <w:tcPr>
            <w:tcW w:w="1737" w:type="dxa"/>
            <w:vMerge w:val="continue"/>
            <w:vAlign w:val="center"/>
          </w:tcPr>
          <w:p w14:paraId="15AF8EA1">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rPr>
            </w:pPr>
          </w:p>
        </w:tc>
      </w:tr>
      <w:tr w14:paraId="6DB9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70" w:type="dxa"/>
            <w:vMerge w:val="continue"/>
            <w:vAlign w:val="center"/>
          </w:tcPr>
          <w:p w14:paraId="665850AF">
            <w:pPr>
              <w:spacing w:after="120"/>
              <w:ind w:left="420" w:leftChars="200"/>
              <w:jc w:val="center"/>
              <w:rPr>
                <w:rFonts w:hint="eastAsia" w:ascii="仿宋" w:hAnsi="仿宋" w:eastAsia="仿宋" w:cs="仿宋"/>
                <w:szCs w:val="21"/>
              </w:rPr>
            </w:pPr>
          </w:p>
        </w:tc>
        <w:tc>
          <w:tcPr>
            <w:tcW w:w="1375" w:type="dxa"/>
            <w:vMerge w:val="continue"/>
            <w:vAlign w:val="center"/>
          </w:tcPr>
          <w:p w14:paraId="4F45D79C">
            <w:pPr>
              <w:spacing w:after="120"/>
              <w:rPr>
                <w:rFonts w:hint="eastAsia" w:ascii="仿宋" w:hAnsi="仿宋" w:eastAsia="仿宋" w:cs="仿宋"/>
                <w:szCs w:val="21"/>
              </w:rPr>
            </w:pPr>
          </w:p>
        </w:tc>
        <w:tc>
          <w:tcPr>
            <w:tcW w:w="3517" w:type="dxa"/>
            <w:vAlign w:val="center"/>
          </w:tcPr>
          <w:p w14:paraId="6D42BE8A">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default" w:ascii="仿宋" w:hAnsi="仿宋" w:eastAsia="仿宋" w:cs="仿宋"/>
                <w:color w:val="FF0000"/>
                <w:szCs w:val="21"/>
                <w:lang w:val="en-US" w:eastAsia="zh-CN"/>
              </w:rPr>
            </w:pPr>
            <w:r>
              <w:rPr>
                <w:rFonts w:hint="eastAsia" w:ascii="仿宋" w:hAnsi="仿宋" w:eastAsia="仿宋" w:cs="仿宋"/>
                <w:color w:val="000000" w:themeColor="text1"/>
                <w:szCs w:val="21"/>
                <w:lang w:val="en-US" w:eastAsia="zh-CN"/>
                <w14:textFill>
                  <w14:solidFill>
                    <w14:schemeClr w14:val="tx1"/>
                  </w14:solidFill>
                </w14:textFill>
              </w:rPr>
              <w:t>40.加强疫情工作信息舆情监测，及时查处并辟谣不实信息</w:t>
            </w:r>
          </w:p>
        </w:tc>
        <w:tc>
          <w:tcPr>
            <w:tcW w:w="1695" w:type="dxa"/>
            <w:vMerge w:val="continue"/>
            <w:vAlign w:val="center"/>
          </w:tcPr>
          <w:p w14:paraId="74C33D0F">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rPr>
            </w:pPr>
          </w:p>
        </w:tc>
        <w:tc>
          <w:tcPr>
            <w:tcW w:w="4888" w:type="dxa"/>
            <w:vMerge w:val="continue"/>
            <w:vAlign w:val="center"/>
          </w:tcPr>
          <w:p w14:paraId="7EB26715">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lang w:eastAsia="zh-CN"/>
              </w:rPr>
            </w:pPr>
          </w:p>
        </w:tc>
        <w:tc>
          <w:tcPr>
            <w:tcW w:w="1125" w:type="dxa"/>
            <w:vMerge w:val="continue"/>
            <w:vAlign w:val="center"/>
          </w:tcPr>
          <w:p w14:paraId="548AC49F">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rPr>
            </w:pPr>
          </w:p>
        </w:tc>
        <w:tc>
          <w:tcPr>
            <w:tcW w:w="1737" w:type="dxa"/>
            <w:vMerge w:val="continue"/>
            <w:vAlign w:val="center"/>
          </w:tcPr>
          <w:p w14:paraId="443D9DF2">
            <w:pPr>
              <w:keepNext w:val="0"/>
              <w:keepLines w:val="0"/>
              <w:pageBreakBefore w:val="0"/>
              <w:widowControl w:val="0"/>
              <w:kinsoku/>
              <w:wordWrap/>
              <w:overflowPunct/>
              <w:topLinePunct w:val="0"/>
              <w:autoSpaceDE/>
              <w:autoSpaceDN/>
              <w:bidi w:val="0"/>
              <w:adjustRightInd/>
              <w:snapToGrid/>
              <w:spacing w:after="120" w:line="220" w:lineRule="exact"/>
              <w:jc w:val="both"/>
              <w:textAlignment w:val="auto"/>
              <w:rPr>
                <w:rFonts w:hint="eastAsia" w:ascii="仿宋" w:hAnsi="仿宋" w:eastAsia="仿宋" w:cs="仿宋"/>
                <w:szCs w:val="21"/>
              </w:rPr>
            </w:pPr>
          </w:p>
        </w:tc>
      </w:tr>
      <w:tr w14:paraId="06E6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Align w:val="bottom"/>
          </w:tcPr>
          <w:p w14:paraId="674F04E9">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目    标</w:t>
            </w:r>
          </w:p>
        </w:tc>
        <w:tc>
          <w:tcPr>
            <w:tcW w:w="1375" w:type="dxa"/>
            <w:vAlign w:val="bottom"/>
          </w:tcPr>
          <w:p w14:paraId="2E952EEC">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主要任务</w:t>
            </w:r>
          </w:p>
        </w:tc>
        <w:tc>
          <w:tcPr>
            <w:tcW w:w="3517" w:type="dxa"/>
            <w:vAlign w:val="bottom"/>
          </w:tcPr>
          <w:p w14:paraId="1A8B1A47">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仿宋" w:hAnsi="仿宋" w:eastAsia="仿宋" w:cs="仿宋"/>
                <w:szCs w:val="21"/>
                <w:lang w:val="en-US" w:eastAsia="zh-CN"/>
              </w:rPr>
            </w:pPr>
            <w:r>
              <w:rPr>
                <w:rFonts w:hint="eastAsia" w:ascii="黑体" w:hAnsi="黑体" w:eastAsia="黑体"/>
                <w:szCs w:val="21"/>
              </w:rPr>
              <w:t>细化指标</w:t>
            </w:r>
          </w:p>
        </w:tc>
        <w:tc>
          <w:tcPr>
            <w:tcW w:w="1695" w:type="dxa"/>
            <w:vAlign w:val="bottom"/>
          </w:tcPr>
          <w:p w14:paraId="64066F3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责任单位</w:t>
            </w:r>
          </w:p>
        </w:tc>
        <w:tc>
          <w:tcPr>
            <w:tcW w:w="4888" w:type="dxa"/>
            <w:vAlign w:val="bottom"/>
          </w:tcPr>
          <w:p w14:paraId="450AD9A3">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工作措施</w:t>
            </w:r>
          </w:p>
        </w:tc>
        <w:tc>
          <w:tcPr>
            <w:tcW w:w="1125" w:type="dxa"/>
            <w:vAlign w:val="bottom"/>
          </w:tcPr>
          <w:p w14:paraId="2E74CEBC">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完成时限</w:t>
            </w:r>
          </w:p>
        </w:tc>
        <w:tc>
          <w:tcPr>
            <w:tcW w:w="1737" w:type="dxa"/>
            <w:vAlign w:val="bottom"/>
          </w:tcPr>
          <w:p w14:paraId="1B03C94F">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7312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170" w:type="dxa"/>
            <w:vMerge w:val="restart"/>
            <w:vAlign w:val="center"/>
          </w:tcPr>
          <w:p w14:paraId="33297087">
            <w:pPr>
              <w:spacing w:after="120"/>
              <w:rPr>
                <w:rFonts w:hint="eastAsia" w:ascii="仿宋" w:hAnsi="仿宋" w:eastAsia="仿宋" w:cs="仿宋"/>
                <w:szCs w:val="21"/>
              </w:rPr>
            </w:pPr>
            <w:r>
              <w:rPr>
                <w:rFonts w:hint="eastAsia" w:ascii="仿宋" w:hAnsi="仿宋" w:eastAsia="仿宋" w:cs="仿宋"/>
                <w:szCs w:val="21"/>
                <w:lang w:eastAsia="zh-CN"/>
              </w:rPr>
              <w:t>三、抓实重点领域</w:t>
            </w:r>
            <w:r>
              <w:rPr>
                <w:rFonts w:hint="eastAsia" w:ascii="仿宋" w:hAnsi="仿宋" w:eastAsia="仿宋" w:cs="仿宋"/>
                <w:szCs w:val="21"/>
              </w:rPr>
              <w:t>政府信息公开</w:t>
            </w:r>
          </w:p>
        </w:tc>
        <w:tc>
          <w:tcPr>
            <w:tcW w:w="1375" w:type="dxa"/>
            <w:vMerge w:val="restart"/>
            <w:vAlign w:val="center"/>
          </w:tcPr>
          <w:p w14:paraId="0B5DDB9B">
            <w:pPr>
              <w:spacing w:after="120"/>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eastAsia="zh-CN"/>
              </w:rPr>
              <w:t>十六</w:t>
            </w:r>
            <w:r>
              <w:rPr>
                <w:rFonts w:hint="eastAsia" w:ascii="仿宋" w:hAnsi="仿宋" w:eastAsia="仿宋" w:cs="仿宋"/>
                <w:szCs w:val="21"/>
              </w:rPr>
              <w:t>）</w:t>
            </w:r>
            <w:r>
              <w:rPr>
                <w:rFonts w:hint="eastAsia" w:ascii="仿宋" w:hAnsi="仿宋" w:eastAsia="仿宋" w:cs="仿宋"/>
                <w:szCs w:val="21"/>
                <w:lang w:eastAsia="zh-CN"/>
              </w:rPr>
              <w:t>大力推进公共企事业单位信息公开</w:t>
            </w:r>
          </w:p>
        </w:tc>
        <w:tc>
          <w:tcPr>
            <w:tcW w:w="3517" w:type="dxa"/>
            <w:vAlign w:val="center"/>
          </w:tcPr>
          <w:p w14:paraId="11CF396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41.严格执行国家或省已出台的公共企事业单位信息公开规定，明确并向社会公开本系统范围内的适用主体清单</w:t>
            </w:r>
          </w:p>
        </w:tc>
        <w:tc>
          <w:tcPr>
            <w:tcW w:w="1695" w:type="dxa"/>
            <w:vMerge w:val="restart"/>
            <w:vAlign w:val="center"/>
          </w:tcPr>
          <w:p w14:paraId="4BE12AF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推动部门：市政府办公室</w:t>
            </w:r>
          </w:p>
          <w:p w14:paraId="0A33567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落实部门：市教育局、市卫健委、市住建局、市生态环境局、市交通局等单位</w:t>
            </w:r>
          </w:p>
          <w:p w14:paraId="47D7BAF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县（市）区政府</w:t>
            </w:r>
          </w:p>
        </w:tc>
        <w:tc>
          <w:tcPr>
            <w:tcW w:w="4888" w:type="dxa"/>
            <w:vMerge w:val="restart"/>
            <w:vAlign w:val="center"/>
          </w:tcPr>
          <w:p w14:paraId="0B4205B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50）各相关行管部门依据《公共企事业单位信息公开规定制定办法》（国办发〔2020〕50号）、《四平市人民政府办公室关于全面加强公共企事业单位信息公开工作的意见》（四政办函〔2020〕40号）及国家部委陆续下发的本领域公共企事业单位信息公开规定，指导适用主体单位制定信息公开实施细则；</w:t>
            </w:r>
          </w:p>
          <w:p w14:paraId="50396FB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val="en-US" w:eastAsia="zh-CN"/>
              </w:rPr>
            </w:pPr>
            <w:r>
              <w:rPr>
                <w:rFonts w:hint="eastAsia" w:ascii="仿宋" w:hAnsi="仿宋" w:eastAsia="仿宋" w:cs="仿宋"/>
                <w:szCs w:val="21"/>
                <w:lang w:val="en-US" w:eastAsia="zh-CN"/>
              </w:rPr>
              <w:t>（51）督促教育、卫生健康、供水、供电、供气、环境保护、公共交通等行业主管部门履行主管职责，公开投诉举报电话，及时查处群众举报的因公共企事业单位未依法及时公开信息而损害市民企业权益的问题，通报有关企事业单位限时整改</w:t>
            </w:r>
          </w:p>
        </w:tc>
        <w:tc>
          <w:tcPr>
            <w:tcW w:w="1125" w:type="dxa"/>
            <w:vMerge w:val="restart"/>
            <w:vAlign w:val="center"/>
          </w:tcPr>
          <w:p w14:paraId="50DFA98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贯穿全年 </w:t>
            </w:r>
          </w:p>
        </w:tc>
        <w:tc>
          <w:tcPr>
            <w:tcW w:w="1737" w:type="dxa"/>
            <w:vMerge w:val="restart"/>
            <w:vAlign w:val="center"/>
          </w:tcPr>
          <w:p w14:paraId="210464FB">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在政府门户网站公开适用主体清单</w:t>
            </w:r>
          </w:p>
          <w:p w14:paraId="53C8A81F">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有关企事业单位信息公开实施细则</w:t>
            </w:r>
          </w:p>
        </w:tc>
      </w:tr>
      <w:tr w14:paraId="34DC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70" w:type="dxa"/>
            <w:vMerge w:val="continue"/>
            <w:vAlign w:val="center"/>
          </w:tcPr>
          <w:p w14:paraId="19B78BAE">
            <w:pPr>
              <w:spacing w:after="120"/>
              <w:ind w:left="420" w:leftChars="200"/>
              <w:jc w:val="center"/>
              <w:rPr>
                <w:rFonts w:hint="eastAsia" w:ascii="仿宋" w:hAnsi="仿宋" w:eastAsia="仿宋" w:cs="仿宋"/>
                <w:szCs w:val="21"/>
              </w:rPr>
            </w:pPr>
          </w:p>
        </w:tc>
        <w:tc>
          <w:tcPr>
            <w:tcW w:w="1375" w:type="dxa"/>
            <w:vMerge w:val="continue"/>
            <w:vAlign w:val="center"/>
          </w:tcPr>
          <w:p w14:paraId="2AA5A36C">
            <w:pPr>
              <w:spacing w:after="120"/>
              <w:ind w:left="420" w:leftChars="200"/>
              <w:jc w:val="center"/>
              <w:rPr>
                <w:rFonts w:hint="eastAsia" w:ascii="仿宋" w:hAnsi="仿宋" w:eastAsia="仿宋" w:cs="仿宋"/>
                <w:szCs w:val="21"/>
              </w:rPr>
            </w:pPr>
          </w:p>
        </w:tc>
        <w:tc>
          <w:tcPr>
            <w:tcW w:w="3517" w:type="dxa"/>
            <w:vAlign w:val="center"/>
          </w:tcPr>
          <w:p w14:paraId="16F02D1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42.督促重点公共企事业单位出台具体实施细则，明确公开内容清单</w:t>
            </w:r>
          </w:p>
        </w:tc>
        <w:tc>
          <w:tcPr>
            <w:tcW w:w="1695" w:type="dxa"/>
            <w:vMerge w:val="continue"/>
            <w:vAlign w:val="center"/>
          </w:tcPr>
          <w:p w14:paraId="1ED3B82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Merge w:val="continue"/>
            <w:vAlign w:val="center"/>
          </w:tcPr>
          <w:p w14:paraId="598F76D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125" w:type="dxa"/>
            <w:vMerge w:val="continue"/>
            <w:vAlign w:val="center"/>
          </w:tcPr>
          <w:p w14:paraId="66B4ADFB">
            <w:pPr>
              <w:spacing w:after="120"/>
              <w:jc w:val="both"/>
              <w:rPr>
                <w:rFonts w:hint="default" w:ascii="仿宋" w:hAnsi="仿宋" w:eastAsia="仿宋" w:cs="仿宋"/>
                <w:szCs w:val="21"/>
                <w:lang w:val="en-US"/>
              </w:rPr>
            </w:pPr>
          </w:p>
        </w:tc>
        <w:tc>
          <w:tcPr>
            <w:tcW w:w="1737" w:type="dxa"/>
            <w:vMerge w:val="continue"/>
            <w:vAlign w:val="center"/>
          </w:tcPr>
          <w:p w14:paraId="1F710D0C">
            <w:pPr>
              <w:spacing w:after="120"/>
              <w:jc w:val="both"/>
              <w:rPr>
                <w:rFonts w:hint="eastAsia" w:ascii="仿宋" w:hAnsi="仿宋" w:eastAsia="仿宋" w:cs="仿宋"/>
                <w:szCs w:val="21"/>
                <w:lang w:eastAsia="zh-CN"/>
              </w:rPr>
            </w:pPr>
          </w:p>
        </w:tc>
      </w:tr>
      <w:tr w14:paraId="37C9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170" w:type="dxa"/>
            <w:vMerge w:val="continue"/>
            <w:vAlign w:val="center"/>
          </w:tcPr>
          <w:p w14:paraId="24E102C6">
            <w:pPr>
              <w:spacing w:after="120"/>
              <w:ind w:left="420" w:leftChars="200"/>
              <w:jc w:val="center"/>
              <w:rPr>
                <w:rFonts w:hint="eastAsia" w:ascii="仿宋" w:hAnsi="仿宋" w:eastAsia="仿宋" w:cs="仿宋"/>
                <w:szCs w:val="21"/>
              </w:rPr>
            </w:pPr>
          </w:p>
        </w:tc>
        <w:tc>
          <w:tcPr>
            <w:tcW w:w="1375" w:type="dxa"/>
            <w:vMerge w:val="continue"/>
            <w:vAlign w:val="center"/>
          </w:tcPr>
          <w:p w14:paraId="5BE730D2">
            <w:pPr>
              <w:spacing w:after="120"/>
              <w:ind w:left="420" w:leftChars="200"/>
              <w:jc w:val="center"/>
              <w:rPr>
                <w:rFonts w:hint="eastAsia" w:ascii="仿宋" w:hAnsi="仿宋" w:eastAsia="仿宋" w:cs="仿宋"/>
                <w:szCs w:val="21"/>
              </w:rPr>
            </w:pPr>
          </w:p>
        </w:tc>
        <w:tc>
          <w:tcPr>
            <w:tcW w:w="3517" w:type="dxa"/>
            <w:vAlign w:val="center"/>
          </w:tcPr>
          <w:p w14:paraId="2638C9E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43.加强对具有市场支配地位、公共属性较强、直接关系人民群众身体健康和生命安全的公共企事业单位，或者与服务对象之间信息不对称问题突出、需要重点加强监管的公共企事业单位的监督管理</w:t>
            </w:r>
          </w:p>
        </w:tc>
        <w:tc>
          <w:tcPr>
            <w:tcW w:w="1695" w:type="dxa"/>
            <w:vMerge w:val="continue"/>
            <w:vAlign w:val="center"/>
          </w:tcPr>
          <w:p w14:paraId="6C47FC3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Merge w:val="continue"/>
            <w:vAlign w:val="center"/>
          </w:tcPr>
          <w:p w14:paraId="75AB965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val="en-US" w:eastAsia="zh-CN"/>
              </w:rPr>
            </w:pPr>
          </w:p>
        </w:tc>
        <w:tc>
          <w:tcPr>
            <w:tcW w:w="1125" w:type="dxa"/>
            <w:vMerge w:val="continue"/>
            <w:vAlign w:val="center"/>
          </w:tcPr>
          <w:p w14:paraId="62229B12">
            <w:pPr>
              <w:spacing w:after="120"/>
              <w:jc w:val="both"/>
              <w:rPr>
                <w:rFonts w:hint="default" w:ascii="仿宋" w:hAnsi="仿宋" w:eastAsia="仿宋" w:cs="仿宋"/>
                <w:szCs w:val="21"/>
                <w:lang w:val="en-US"/>
              </w:rPr>
            </w:pPr>
          </w:p>
        </w:tc>
        <w:tc>
          <w:tcPr>
            <w:tcW w:w="1737" w:type="dxa"/>
            <w:vMerge w:val="continue"/>
            <w:vAlign w:val="center"/>
          </w:tcPr>
          <w:p w14:paraId="56C7A50C">
            <w:pPr>
              <w:spacing w:after="120"/>
              <w:jc w:val="both"/>
              <w:rPr>
                <w:rFonts w:hint="eastAsia" w:ascii="仿宋" w:hAnsi="仿宋" w:eastAsia="仿宋" w:cs="仿宋"/>
                <w:szCs w:val="21"/>
                <w:lang w:eastAsia="zh-CN"/>
              </w:rPr>
            </w:pPr>
          </w:p>
        </w:tc>
      </w:tr>
      <w:tr w14:paraId="2A3D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170" w:type="dxa"/>
            <w:vMerge w:val="continue"/>
            <w:vAlign w:val="center"/>
          </w:tcPr>
          <w:p w14:paraId="03AB3FF7">
            <w:pPr>
              <w:spacing w:after="120"/>
              <w:ind w:left="420" w:leftChars="200"/>
              <w:jc w:val="center"/>
              <w:rPr>
                <w:rFonts w:hint="eastAsia" w:ascii="仿宋" w:hAnsi="仿宋" w:eastAsia="仿宋" w:cs="仿宋"/>
                <w:szCs w:val="21"/>
              </w:rPr>
            </w:pPr>
          </w:p>
        </w:tc>
        <w:tc>
          <w:tcPr>
            <w:tcW w:w="1375" w:type="dxa"/>
            <w:vMerge w:val="restart"/>
            <w:vAlign w:val="center"/>
          </w:tcPr>
          <w:p w14:paraId="168BB0D4">
            <w:pPr>
              <w:spacing w:after="120"/>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eastAsia="zh-CN"/>
              </w:rPr>
              <w:t>十七</w:t>
            </w:r>
            <w:r>
              <w:rPr>
                <w:rFonts w:hint="eastAsia" w:ascii="仿宋" w:hAnsi="仿宋" w:eastAsia="仿宋" w:cs="仿宋"/>
                <w:szCs w:val="21"/>
              </w:rPr>
              <w:t>）</w:t>
            </w:r>
            <w:r>
              <w:rPr>
                <w:rFonts w:hint="eastAsia" w:ascii="仿宋" w:hAnsi="仿宋" w:eastAsia="仿宋" w:cs="仿宋"/>
                <w:szCs w:val="21"/>
                <w:lang w:eastAsia="zh-CN"/>
              </w:rPr>
              <w:t>强化市政府年度重点工作任务信息公开</w:t>
            </w:r>
          </w:p>
        </w:tc>
        <w:tc>
          <w:tcPr>
            <w:tcW w:w="3517" w:type="dxa"/>
            <w:vAlign w:val="center"/>
          </w:tcPr>
          <w:p w14:paraId="2211431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44.将市政府确定的168项年度重点工作任务，纳入全市政府信息公开监督考核重点内容，以公开促落实、强监管</w:t>
            </w:r>
          </w:p>
        </w:tc>
        <w:tc>
          <w:tcPr>
            <w:tcW w:w="1695" w:type="dxa"/>
            <w:vMerge w:val="restart"/>
            <w:vAlign w:val="center"/>
          </w:tcPr>
          <w:p w14:paraId="2D4174D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推动</w:t>
            </w:r>
            <w:r>
              <w:rPr>
                <w:rFonts w:hint="eastAsia" w:ascii="仿宋" w:hAnsi="仿宋" w:eastAsia="仿宋" w:cs="仿宋"/>
                <w:szCs w:val="21"/>
              </w:rPr>
              <w:t>部门：市</w:t>
            </w:r>
            <w:r>
              <w:rPr>
                <w:rFonts w:hint="eastAsia" w:ascii="仿宋" w:hAnsi="仿宋" w:eastAsia="仿宋" w:cs="仿宋"/>
                <w:szCs w:val="21"/>
                <w:lang w:eastAsia="zh-CN"/>
              </w:rPr>
              <w:t>政府办公室、市政府新闻办公室</w:t>
            </w:r>
          </w:p>
          <w:p w14:paraId="2C02FC1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rPr>
              <w:t>配合部门：</w:t>
            </w:r>
            <w:r>
              <w:rPr>
                <w:rFonts w:hint="eastAsia" w:ascii="仿宋" w:hAnsi="仿宋" w:eastAsia="仿宋" w:cs="仿宋"/>
                <w:szCs w:val="21"/>
                <w:lang w:val="en-US" w:eastAsia="zh-CN"/>
              </w:rPr>
              <w:t>31个涉事责任部门</w:t>
            </w:r>
          </w:p>
          <w:p w14:paraId="5372BA2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Merge w:val="restart"/>
            <w:vAlign w:val="center"/>
          </w:tcPr>
          <w:p w14:paraId="043038B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（52）本着“公开是常态、不公开是例外，应公开尽公开、能公开尽公开”的原则，由各涉事责任部门保密审查领导小组，对重点任务及工作信息可否公开进行甄别</w:t>
            </w:r>
          </w:p>
          <w:p w14:paraId="690F9E5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val="en-US" w:eastAsia="zh-CN"/>
              </w:rPr>
            </w:pPr>
            <w:r>
              <w:rPr>
                <w:rFonts w:hint="eastAsia"/>
                <w:lang w:val="en-US" w:eastAsia="zh-CN"/>
              </w:rPr>
              <w:t>（53）</w:t>
            </w:r>
            <w:r>
              <w:rPr>
                <w:rFonts w:hint="eastAsia" w:ascii="仿宋" w:hAnsi="仿宋" w:eastAsia="仿宋" w:cs="仿宋"/>
                <w:szCs w:val="21"/>
                <w:lang w:val="en-US" w:eastAsia="zh-CN"/>
              </w:rPr>
              <w:t>将能公开的重点任务纳入本部门年度政府信息公开台帐中，实施清单化管理</w:t>
            </w:r>
          </w:p>
        </w:tc>
        <w:tc>
          <w:tcPr>
            <w:tcW w:w="1125" w:type="dxa"/>
            <w:vMerge w:val="restart"/>
            <w:vAlign w:val="center"/>
          </w:tcPr>
          <w:p w14:paraId="5B6F9919">
            <w:pPr>
              <w:spacing w:after="120"/>
              <w:jc w:val="both"/>
              <w:rPr>
                <w:rFonts w:hint="eastAsia" w:ascii="仿宋" w:hAnsi="仿宋" w:eastAsia="仿宋" w:cs="仿宋"/>
                <w:szCs w:val="21"/>
              </w:rPr>
            </w:pPr>
            <w:r>
              <w:rPr>
                <w:rFonts w:hint="eastAsia" w:ascii="仿宋" w:hAnsi="仿宋" w:eastAsia="仿宋" w:cs="仿宋"/>
                <w:szCs w:val="21"/>
              </w:rPr>
              <w:t>贯穿全年</w:t>
            </w:r>
          </w:p>
        </w:tc>
        <w:tc>
          <w:tcPr>
            <w:tcW w:w="1737" w:type="dxa"/>
            <w:vMerge w:val="restart"/>
            <w:vAlign w:val="center"/>
          </w:tcPr>
          <w:p w14:paraId="0564E7BA">
            <w:pPr>
              <w:spacing w:after="120"/>
              <w:jc w:val="both"/>
              <w:rPr>
                <w:rFonts w:hint="default" w:ascii="仿宋" w:hAnsi="仿宋" w:eastAsia="仿宋" w:cs="仿宋"/>
                <w:szCs w:val="21"/>
                <w:lang w:val="en-US" w:eastAsia="zh-CN"/>
              </w:rPr>
            </w:pPr>
            <w:r>
              <w:rPr>
                <w:rFonts w:hint="eastAsia" w:ascii="仿宋" w:hAnsi="仿宋" w:eastAsia="仿宋" w:cs="仿宋"/>
                <w:szCs w:val="21"/>
                <w:lang w:val="en-US" w:eastAsia="zh-CN"/>
              </w:rPr>
              <w:t>2022年市（县）政府重点工作任务信息发布计划（台帐）</w:t>
            </w:r>
          </w:p>
        </w:tc>
      </w:tr>
      <w:tr w14:paraId="1483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170" w:type="dxa"/>
            <w:vMerge w:val="continue"/>
            <w:vAlign w:val="center"/>
          </w:tcPr>
          <w:p w14:paraId="3F6F5E2F">
            <w:pPr>
              <w:spacing w:after="120"/>
              <w:ind w:left="420" w:leftChars="200"/>
              <w:jc w:val="center"/>
              <w:rPr>
                <w:rFonts w:hint="eastAsia" w:ascii="仿宋" w:hAnsi="仿宋" w:eastAsia="仿宋" w:cs="仿宋"/>
                <w:szCs w:val="21"/>
              </w:rPr>
            </w:pPr>
          </w:p>
        </w:tc>
        <w:tc>
          <w:tcPr>
            <w:tcW w:w="1375" w:type="dxa"/>
            <w:vMerge w:val="continue"/>
            <w:vAlign w:val="center"/>
          </w:tcPr>
          <w:p w14:paraId="2D872F5F">
            <w:pPr>
              <w:spacing w:after="120"/>
              <w:rPr>
                <w:rFonts w:hint="eastAsia" w:ascii="仿宋" w:hAnsi="仿宋" w:eastAsia="仿宋" w:cs="仿宋"/>
                <w:szCs w:val="21"/>
              </w:rPr>
            </w:pPr>
          </w:p>
        </w:tc>
        <w:tc>
          <w:tcPr>
            <w:tcW w:w="3517" w:type="dxa"/>
            <w:vAlign w:val="center"/>
          </w:tcPr>
          <w:p w14:paraId="1FE6366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45.五个县（市）区和31个有市政府年度重点工作任务的责任部门，要将任务相关政府信息公开与推进工作同谋划、同部署、同落实</w:t>
            </w:r>
          </w:p>
        </w:tc>
        <w:tc>
          <w:tcPr>
            <w:tcW w:w="1695" w:type="dxa"/>
            <w:vMerge w:val="continue"/>
            <w:vAlign w:val="center"/>
          </w:tcPr>
          <w:p w14:paraId="12B1A27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4888" w:type="dxa"/>
            <w:vMerge w:val="continue"/>
            <w:vAlign w:val="center"/>
          </w:tcPr>
          <w:p w14:paraId="6FA3DDC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p>
        </w:tc>
        <w:tc>
          <w:tcPr>
            <w:tcW w:w="1125" w:type="dxa"/>
            <w:vMerge w:val="continue"/>
            <w:vAlign w:val="center"/>
          </w:tcPr>
          <w:p w14:paraId="1C21A926">
            <w:pPr>
              <w:spacing w:after="120"/>
              <w:jc w:val="both"/>
              <w:rPr>
                <w:rFonts w:hint="eastAsia" w:ascii="仿宋" w:hAnsi="仿宋" w:eastAsia="仿宋" w:cs="仿宋"/>
                <w:szCs w:val="21"/>
              </w:rPr>
            </w:pPr>
          </w:p>
        </w:tc>
        <w:tc>
          <w:tcPr>
            <w:tcW w:w="1737" w:type="dxa"/>
            <w:vMerge w:val="continue"/>
            <w:vAlign w:val="center"/>
          </w:tcPr>
          <w:p w14:paraId="37FFDB08">
            <w:pPr>
              <w:spacing w:after="120"/>
              <w:jc w:val="both"/>
              <w:rPr>
                <w:rFonts w:hint="eastAsia" w:ascii="仿宋" w:hAnsi="仿宋" w:eastAsia="仿宋" w:cs="仿宋"/>
                <w:szCs w:val="21"/>
              </w:rPr>
            </w:pPr>
          </w:p>
        </w:tc>
      </w:tr>
      <w:tr w14:paraId="75D4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70" w:type="dxa"/>
            <w:vMerge w:val="continue"/>
            <w:vAlign w:val="center"/>
          </w:tcPr>
          <w:p w14:paraId="3F24DCBE">
            <w:pPr>
              <w:spacing w:after="120"/>
              <w:ind w:left="420" w:leftChars="200"/>
              <w:jc w:val="center"/>
              <w:rPr>
                <w:rFonts w:hint="eastAsia" w:ascii="仿宋" w:hAnsi="仿宋" w:eastAsia="仿宋" w:cs="仿宋"/>
                <w:szCs w:val="21"/>
              </w:rPr>
            </w:pPr>
          </w:p>
        </w:tc>
        <w:tc>
          <w:tcPr>
            <w:tcW w:w="1375" w:type="dxa"/>
            <w:vMerge w:val="continue"/>
            <w:vAlign w:val="center"/>
          </w:tcPr>
          <w:p w14:paraId="06C29E42">
            <w:pPr>
              <w:spacing w:after="120"/>
              <w:rPr>
                <w:rFonts w:hint="eastAsia" w:ascii="仿宋" w:hAnsi="仿宋" w:eastAsia="仿宋" w:cs="仿宋"/>
                <w:szCs w:val="21"/>
              </w:rPr>
            </w:pPr>
          </w:p>
        </w:tc>
        <w:tc>
          <w:tcPr>
            <w:tcW w:w="3517" w:type="dxa"/>
            <w:vAlign w:val="center"/>
          </w:tcPr>
          <w:p w14:paraId="78361C9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46.制定市政府年度重点工作任务信息发布计划（台帐），科学合理选择发布形式</w:t>
            </w:r>
          </w:p>
        </w:tc>
        <w:tc>
          <w:tcPr>
            <w:tcW w:w="1695" w:type="dxa"/>
            <w:vMerge w:val="continue"/>
            <w:vAlign w:val="center"/>
          </w:tcPr>
          <w:p w14:paraId="690528B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4888" w:type="dxa"/>
            <w:vMerge w:val="continue"/>
            <w:vAlign w:val="center"/>
          </w:tcPr>
          <w:p w14:paraId="31183B0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p>
        </w:tc>
        <w:tc>
          <w:tcPr>
            <w:tcW w:w="1125" w:type="dxa"/>
            <w:vAlign w:val="center"/>
          </w:tcPr>
          <w:p w14:paraId="3D25775F">
            <w:pPr>
              <w:spacing w:after="120"/>
              <w:jc w:val="both"/>
              <w:rPr>
                <w:rFonts w:hint="eastAsia" w:ascii="仿宋" w:hAnsi="仿宋" w:eastAsia="仿宋" w:cs="仿宋"/>
                <w:szCs w:val="21"/>
                <w:lang w:eastAsia="zh-CN"/>
              </w:rPr>
            </w:pPr>
            <w:r>
              <w:rPr>
                <w:rFonts w:hint="eastAsia" w:ascii="仿宋" w:hAnsi="仿宋" w:eastAsia="仿宋" w:cs="仿宋"/>
                <w:szCs w:val="21"/>
                <w:lang w:val="en-US" w:eastAsia="zh-CN"/>
              </w:rPr>
              <w:t>6月底前</w:t>
            </w:r>
          </w:p>
        </w:tc>
        <w:tc>
          <w:tcPr>
            <w:tcW w:w="1737" w:type="dxa"/>
            <w:vMerge w:val="continue"/>
            <w:vAlign w:val="center"/>
          </w:tcPr>
          <w:p w14:paraId="51C87D47">
            <w:pPr>
              <w:spacing w:after="120"/>
              <w:jc w:val="both"/>
              <w:rPr>
                <w:rFonts w:hint="default" w:ascii="仿宋" w:hAnsi="仿宋" w:eastAsia="仿宋" w:cs="仿宋"/>
                <w:szCs w:val="21"/>
                <w:lang w:val="en-US" w:eastAsia="zh-CN"/>
              </w:rPr>
            </w:pPr>
          </w:p>
        </w:tc>
      </w:tr>
      <w:tr w14:paraId="42E0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0" w:type="dxa"/>
            <w:vAlign w:val="bottom"/>
          </w:tcPr>
          <w:p w14:paraId="2864967F">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目    标</w:t>
            </w:r>
          </w:p>
        </w:tc>
        <w:tc>
          <w:tcPr>
            <w:tcW w:w="1375" w:type="dxa"/>
            <w:vAlign w:val="bottom"/>
          </w:tcPr>
          <w:p w14:paraId="30C015D4">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主要任务</w:t>
            </w:r>
          </w:p>
        </w:tc>
        <w:tc>
          <w:tcPr>
            <w:tcW w:w="3517" w:type="dxa"/>
            <w:vAlign w:val="bottom"/>
          </w:tcPr>
          <w:p w14:paraId="5CBAEF1C">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仿宋" w:hAnsi="仿宋" w:eastAsia="仿宋" w:cs="仿宋"/>
                <w:szCs w:val="21"/>
                <w:lang w:val="en-US" w:eastAsia="zh-CN"/>
              </w:rPr>
            </w:pPr>
            <w:r>
              <w:rPr>
                <w:rFonts w:hint="eastAsia" w:ascii="黑体" w:hAnsi="黑体" w:eastAsia="黑体"/>
                <w:szCs w:val="21"/>
              </w:rPr>
              <w:t>细化指标</w:t>
            </w:r>
          </w:p>
        </w:tc>
        <w:tc>
          <w:tcPr>
            <w:tcW w:w="1695" w:type="dxa"/>
            <w:vAlign w:val="bottom"/>
          </w:tcPr>
          <w:p w14:paraId="23439CD7">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责任单位</w:t>
            </w:r>
          </w:p>
        </w:tc>
        <w:tc>
          <w:tcPr>
            <w:tcW w:w="4888" w:type="dxa"/>
            <w:vAlign w:val="bottom"/>
          </w:tcPr>
          <w:p w14:paraId="73AD8374">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工作措施</w:t>
            </w:r>
          </w:p>
        </w:tc>
        <w:tc>
          <w:tcPr>
            <w:tcW w:w="1125" w:type="dxa"/>
            <w:vAlign w:val="bottom"/>
          </w:tcPr>
          <w:p w14:paraId="620DC0E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完成时限</w:t>
            </w:r>
          </w:p>
        </w:tc>
        <w:tc>
          <w:tcPr>
            <w:tcW w:w="1737" w:type="dxa"/>
            <w:vAlign w:val="bottom"/>
          </w:tcPr>
          <w:p w14:paraId="069BAA2C">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ascii="黑体" w:hAnsi="黑体" w:eastAsia="黑体"/>
                <w:szCs w:val="21"/>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3B0C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70" w:type="dxa"/>
            <w:vMerge w:val="restart"/>
            <w:vAlign w:val="center"/>
          </w:tcPr>
          <w:p w14:paraId="3F8E4D4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四、加强信息公开平台建设</w:t>
            </w:r>
          </w:p>
          <w:p w14:paraId="013735C7">
            <w:pPr>
              <w:spacing w:after="120"/>
              <w:jc w:val="both"/>
              <w:rPr>
                <w:rFonts w:hint="eastAsia" w:ascii="仿宋" w:hAnsi="仿宋" w:eastAsia="仿宋" w:cs="仿宋"/>
                <w:szCs w:val="21"/>
              </w:rPr>
            </w:pPr>
          </w:p>
        </w:tc>
        <w:tc>
          <w:tcPr>
            <w:tcW w:w="1375" w:type="dxa"/>
            <w:vAlign w:val="center"/>
          </w:tcPr>
          <w:p w14:paraId="5118C65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（十八）科学合理确定公开方式</w:t>
            </w:r>
          </w:p>
        </w:tc>
        <w:tc>
          <w:tcPr>
            <w:tcW w:w="3517" w:type="dxa"/>
            <w:vAlign w:val="center"/>
          </w:tcPr>
          <w:p w14:paraId="0AB042D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r>
              <w:rPr>
                <w:rFonts w:hint="eastAsia" w:ascii="仿宋" w:hAnsi="仿宋" w:eastAsia="仿宋" w:cs="仿宋"/>
                <w:szCs w:val="21"/>
                <w:lang w:val="en-US" w:eastAsia="zh-CN"/>
              </w:rPr>
              <w:t>47.</w:t>
            </w:r>
            <w:r>
              <w:rPr>
                <w:rFonts w:hint="eastAsia" w:ascii="仿宋" w:hAnsi="仿宋" w:eastAsia="仿宋" w:cs="仿宋"/>
                <w:szCs w:val="21"/>
              </w:rPr>
              <w:t>准确把握不同类型公开要求，</w:t>
            </w:r>
            <w:r>
              <w:rPr>
                <w:rFonts w:hint="eastAsia" w:ascii="仿宋" w:hAnsi="仿宋" w:eastAsia="仿宋" w:cs="仿宋"/>
                <w:szCs w:val="21"/>
                <w:lang w:eastAsia="zh-CN"/>
              </w:rPr>
              <w:t>综合考虑公开目的、公开效果、后续影响等因素，</w:t>
            </w:r>
            <w:r>
              <w:rPr>
                <w:rFonts w:hint="eastAsia" w:ascii="仿宋" w:hAnsi="仿宋" w:eastAsia="仿宋" w:cs="仿宋"/>
                <w:szCs w:val="21"/>
              </w:rPr>
              <w:t>科学合理确定公开方式</w:t>
            </w:r>
          </w:p>
        </w:tc>
        <w:tc>
          <w:tcPr>
            <w:tcW w:w="1695" w:type="dxa"/>
            <w:vMerge w:val="restart"/>
            <w:vAlign w:val="center"/>
          </w:tcPr>
          <w:p w14:paraId="2387031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牵头部门：市政府办公室</w:t>
            </w:r>
          </w:p>
          <w:p w14:paraId="3467E33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val="en-US" w:eastAsia="zh-CN"/>
              </w:rPr>
            </w:pPr>
            <w:r>
              <w:rPr>
                <w:rFonts w:hint="eastAsia" w:ascii="仿宋" w:hAnsi="仿宋" w:eastAsia="仿宋" w:cs="仿宋"/>
                <w:szCs w:val="21"/>
                <w:lang w:val="en-US" w:eastAsia="zh-CN"/>
              </w:rPr>
              <w:t>配合部门：市政府各相关部门</w:t>
            </w:r>
          </w:p>
          <w:p w14:paraId="3D20F98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县</w:t>
            </w:r>
            <w:r>
              <w:rPr>
                <w:rFonts w:hint="eastAsia" w:ascii="仿宋" w:hAnsi="仿宋" w:eastAsia="仿宋" w:cs="仿宋"/>
                <w:sz w:val="21"/>
                <w:szCs w:val="21"/>
                <w:lang w:eastAsia="zh-CN"/>
              </w:rPr>
              <w:t>（市）</w:t>
            </w:r>
            <w:r>
              <w:rPr>
                <w:rFonts w:hint="eastAsia" w:ascii="仿宋" w:hAnsi="仿宋" w:eastAsia="仿宋" w:cs="仿宋"/>
                <w:sz w:val="21"/>
                <w:szCs w:val="21"/>
              </w:rPr>
              <w:t>区</w:t>
            </w:r>
            <w:r>
              <w:rPr>
                <w:rFonts w:hint="eastAsia" w:ascii="仿宋" w:hAnsi="仿宋" w:eastAsia="仿宋" w:cs="仿宋"/>
                <w:sz w:val="21"/>
                <w:szCs w:val="21"/>
                <w:lang w:eastAsia="zh-CN"/>
              </w:rPr>
              <w:t>政府</w:t>
            </w:r>
          </w:p>
        </w:tc>
        <w:tc>
          <w:tcPr>
            <w:tcW w:w="4888" w:type="dxa"/>
            <w:vAlign w:val="center"/>
          </w:tcPr>
          <w:p w14:paraId="4D4BA59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54</w:t>
            </w:r>
            <w:r>
              <w:rPr>
                <w:rFonts w:hint="eastAsia" w:ascii="仿宋" w:hAnsi="仿宋" w:eastAsia="仿宋" w:cs="仿宋"/>
                <w:szCs w:val="21"/>
                <w:lang w:eastAsia="zh-CN"/>
              </w:rPr>
              <w:t>）公开内容涉及社会公众利益调整、需要广泛知晓的，可通过互联网等渠道公开；公开内容仅涉及部分特定对象，或者相关规定明确要求在特定范围内公示的，要选择适当的公开方式（如新闻发布会等），防止发生危害“三安全一稳定”问题</w:t>
            </w:r>
          </w:p>
        </w:tc>
        <w:tc>
          <w:tcPr>
            <w:tcW w:w="1125" w:type="dxa"/>
            <w:vAlign w:val="center"/>
          </w:tcPr>
          <w:p w14:paraId="2EB38A1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贯穿全年</w:t>
            </w:r>
          </w:p>
        </w:tc>
        <w:tc>
          <w:tcPr>
            <w:tcW w:w="1737" w:type="dxa"/>
            <w:vAlign w:val="center"/>
          </w:tcPr>
          <w:p w14:paraId="1944A13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公开渠道多样化</w:t>
            </w:r>
          </w:p>
        </w:tc>
      </w:tr>
      <w:tr w14:paraId="1B30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70" w:type="dxa"/>
            <w:vMerge w:val="continue"/>
            <w:vAlign w:val="center"/>
          </w:tcPr>
          <w:p w14:paraId="0AE0E542">
            <w:pPr>
              <w:spacing w:after="120"/>
              <w:rPr>
                <w:rFonts w:hint="eastAsia" w:ascii="仿宋" w:hAnsi="仿宋" w:eastAsia="仿宋" w:cs="仿宋"/>
                <w:szCs w:val="21"/>
              </w:rPr>
            </w:pPr>
          </w:p>
        </w:tc>
        <w:tc>
          <w:tcPr>
            <w:tcW w:w="1375" w:type="dxa"/>
            <w:vAlign w:val="center"/>
          </w:tcPr>
          <w:p w14:paraId="2DA8A547">
            <w:pPr>
              <w:keepNext w:val="0"/>
              <w:keepLines w:val="0"/>
              <w:pageBreakBefore w:val="0"/>
              <w:widowControl w:val="0"/>
              <w:kinsoku/>
              <w:wordWrap/>
              <w:overflowPunct/>
              <w:topLinePunct w:val="0"/>
              <w:autoSpaceDE/>
              <w:autoSpaceDN/>
              <w:bidi w:val="0"/>
              <w:adjustRightInd/>
              <w:snapToGrid/>
              <w:spacing w:after="120" w:line="24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rPr>
              <w:t>（</w:t>
            </w:r>
            <w:r>
              <w:rPr>
                <w:rFonts w:hint="eastAsia" w:ascii="仿宋" w:hAnsi="仿宋" w:eastAsia="仿宋" w:cs="仿宋"/>
                <w:szCs w:val="21"/>
                <w:lang w:eastAsia="zh-CN"/>
              </w:rPr>
              <w:t>十九</w:t>
            </w:r>
            <w:r>
              <w:rPr>
                <w:rFonts w:hint="eastAsia" w:ascii="仿宋" w:hAnsi="仿宋" w:eastAsia="仿宋" w:cs="仿宋"/>
                <w:szCs w:val="21"/>
              </w:rPr>
              <w:t>）</w:t>
            </w:r>
            <w:r>
              <w:rPr>
                <w:rFonts w:hint="eastAsia" w:ascii="仿宋" w:hAnsi="仿宋" w:eastAsia="仿宋" w:cs="仿宋"/>
                <w:szCs w:val="21"/>
                <w:lang w:eastAsia="zh-CN"/>
              </w:rPr>
              <w:t>做好政府公报工作</w:t>
            </w:r>
          </w:p>
        </w:tc>
        <w:tc>
          <w:tcPr>
            <w:tcW w:w="3517" w:type="dxa"/>
            <w:vAlign w:val="center"/>
          </w:tcPr>
          <w:p w14:paraId="6C1F57C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48.按照国办发〔2018〕22号《国务院办公厅关于做好政府公报工作的通知》要求，着眼建立中央、省、市三级公报体系，开办市政府公报</w:t>
            </w:r>
          </w:p>
        </w:tc>
        <w:tc>
          <w:tcPr>
            <w:tcW w:w="1695" w:type="dxa"/>
            <w:vMerge w:val="continue"/>
            <w:vAlign w:val="center"/>
          </w:tcPr>
          <w:p w14:paraId="7A47179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4888" w:type="dxa"/>
            <w:vAlign w:val="center"/>
          </w:tcPr>
          <w:p w14:paraId="682B837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（55）由市政府办公室信息科牵头开展政府公报编制工作，建立常态化梳理、编辑、印制、发放等工作机制</w:t>
            </w:r>
          </w:p>
        </w:tc>
        <w:tc>
          <w:tcPr>
            <w:tcW w:w="1125" w:type="dxa"/>
            <w:vAlign w:val="center"/>
          </w:tcPr>
          <w:p w14:paraId="207240B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12月底前</w:t>
            </w:r>
          </w:p>
        </w:tc>
        <w:tc>
          <w:tcPr>
            <w:tcW w:w="1737" w:type="dxa"/>
            <w:vAlign w:val="center"/>
          </w:tcPr>
          <w:p w14:paraId="2F30E70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纸质政府公报摆放在公共场所</w:t>
            </w:r>
          </w:p>
          <w:p w14:paraId="3871EB0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Calibri" w:hAnsi="Calibri" w:eastAsia="宋体" w:cs="黑体"/>
                <w:kern w:val="2"/>
                <w:sz w:val="21"/>
                <w:szCs w:val="22"/>
                <w:lang w:val="en-US" w:eastAsia="zh-CN" w:bidi="ar-SA"/>
              </w:rPr>
            </w:pPr>
            <w:r>
              <w:rPr>
                <w:rFonts w:hint="eastAsia" w:ascii="仿宋" w:hAnsi="仿宋" w:eastAsia="仿宋" w:cs="仿宋"/>
                <w:szCs w:val="21"/>
                <w:lang w:eastAsia="zh-CN"/>
              </w:rPr>
              <w:t>电子版在政府门户网站开设专栏</w:t>
            </w:r>
          </w:p>
        </w:tc>
      </w:tr>
      <w:tr w14:paraId="6A58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70" w:type="dxa"/>
            <w:vMerge w:val="continue"/>
            <w:vAlign w:val="center"/>
          </w:tcPr>
          <w:p w14:paraId="60A92A39">
            <w:pPr>
              <w:spacing w:after="120"/>
              <w:rPr>
                <w:rFonts w:hint="eastAsia" w:ascii="仿宋" w:hAnsi="仿宋" w:eastAsia="仿宋" w:cs="仿宋"/>
                <w:szCs w:val="21"/>
              </w:rPr>
            </w:pPr>
          </w:p>
        </w:tc>
        <w:tc>
          <w:tcPr>
            <w:tcW w:w="1375" w:type="dxa"/>
            <w:vAlign w:val="center"/>
          </w:tcPr>
          <w:p w14:paraId="3717C31F">
            <w:pPr>
              <w:keepNext w:val="0"/>
              <w:keepLines w:val="0"/>
              <w:pageBreakBefore w:val="0"/>
              <w:widowControl w:val="0"/>
              <w:kinsoku/>
              <w:wordWrap/>
              <w:overflowPunct/>
              <w:topLinePunct w:val="0"/>
              <w:autoSpaceDE/>
              <w:autoSpaceDN/>
              <w:bidi w:val="0"/>
              <w:adjustRightInd/>
              <w:snapToGrid/>
              <w:spacing w:after="120" w:line="240" w:lineRule="exact"/>
              <w:textAlignment w:val="auto"/>
              <w:rPr>
                <w:rFonts w:hint="eastAsia" w:ascii="仿宋" w:hAnsi="仿宋" w:eastAsia="仿宋" w:cs="仿宋"/>
                <w:szCs w:val="21"/>
                <w:lang w:eastAsia="zh-CN"/>
              </w:rPr>
            </w:pPr>
            <w:r>
              <w:rPr>
                <w:rFonts w:hint="eastAsia" w:ascii="仿宋" w:hAnsi="仿宋" w:eastAsia="仿宋" w:cs="仿宋"/>
                <w:szCs w:val="21"/>
                <w:lang w:eastAsia="zh-CN"/>
              </w:rPr>
              <w:t>（二十）抓好信息公开查阅点位建设</w:t>
            </w:r>
          </w:p>
        </w:tc>
        <w:tc>
          <w:tcPr>
            <w:tcW w:w="3517" w:type="dxa"/>
            <w:vAlign w:val="center"/>
          </w:tcPr>
          <w:p w14:paraId="4F5A5FD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49.加强档案馆、图书馆、政务大厅政府信息公开查阅中心建设，提供主动公开的政府信息的网络查阅服务和纸质文本查阅服务</w:t>
            </w:r>
          </w:p>
        </w:tc>
        <w:tc>
          <w:tcPr>
            <w:tcW w:w="1695" w:type="dxa"/>
            <w:vMerge w:val="continue"/>
            <w:vAlign w:val="center"/>
          </w:tcPr>
          <w:p w14:paraId="57E06F6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4888" w:type="dxa"/>
            <w:vAlign w:val="center"/>
          </w:tcPr>
          <w:p w14:paraId="08D80EA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（56）加大资金保障，规范档案馆、图书馆和办事大厅政府信息公开专区建设，应有尽有，可见可查</w:t>
            </w:r>
          </w:p>
        </w:tc>
        <w:tc>
          <w:tcPr>
            <w:tcW w:w="1125" w:type="dxa"/>
            <w:vAlign w:val="center"/>
          </w:tcPr>
          <w:p w14:paraId="1735E82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12月底前</w:t>
            </w:r>
          </w:p>
        </w:tc>
        <w:tc>
          <w:tcPr>
            <w:tcW w:w="1737" w:type="dxa"/>
            <w:vAlign w:val="center"/>
          </w:tcPr>
          <w:p w14:paraId="2581F8A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三类场所的查阅点建设情况</w:t>
            </w:r>
          </w:p>
        </w:tc>
      </w:tr>
      <w:tr w14:paraId="6BE0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70" w:type="dxa"/>
            <w:vMerge w:val="continue"/>
            <w:vAlign w:val="center"/>
          </w:tcPr>
          <w:p w14:paraId="50390A39">
            <w:pPr>
              <w:spacing w:after="120"/>
              <w:rPr>
                <w:rFonts w:hint="eastAsia" w:ascii="仿宋" w:hAnsi="仿宋" w:eastAsia="仿宋" w:cs="仿宋"/>
                <w:szCs w:val="21"/>
              </w:rPr>
            </w:pPr>
          </w:p>
        </w:tc>
        <w:tc>
          <w:tcPr>
            <w:tcW w:w="1375" w:type="dxa"/>
            <w:vMerge w:val="restart"/>
            <w:vAlign w:val="center"/>
          </w:tcPr>
          <w:p w14:paraId="7295FF52">
            <w:pPr>
              <w:keepNext w:val="0"/>
              <w:keepLines w:val="0"/>
              <w:pageBreakBefore w:val="0"/>
              <w:widowControl w:val="0"/>
              <w:kinsoku/>
              <w:wordWrap/>
              <w:overflowPunct/>
              <w:topLinePunct w:val="0"/>
              <w:autoSpaceDE/>
              <w:autoSpaceDN/>
              <w:bidi w:val="0"/>
              <w:adjustRightInd/>
              <w:snapToGrid/>
              <w:spacing w:after="120" w:line="240" w:lineRule="exact"/>
              <w:textAlignment w:val="auto"/>
              <w:rPr>
                <w:rFonts w:hint="eastAsia" w:ascii="仿宋" w:hAnsi="仿宋" w:eastAsia="仿宋" w:cs="仿宋"/>
                <w:szCs w:val="21"/>
                <w:lang w:eastAsia="zh-CN"/>
              </w:rPr>
            </w:pPr>
            <w:r>
              <w:rPr>
                <w:rFonts w:hint="eastAsia" w:ascii="仿宋" w:hAnsi="仿宋" w:eastAsia="仿宋" w:cs="仿宋"/>
                <w:szCs w:val="21"/>
                <w:lang w:eastAsia="zh-CN"/>
              </w:rPr>
              <w:t>（二十一）建好政府信息公开专栏</w:t>
            </w:r>
          </w:p>
        </w:tc>
        <w:tc>
          <w:tcPr>
            <w:tcW w:w="3517" w:type="dxa"/>
            <w:vAlign w:val="center"/>
          </w:tcPr>
          <w:p w14:paraId="772AE9C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50.汇集齐全应履行政府信息公开义务的部门，消除监管盲区</w:t>
            </w:r>
          </w:p>
        </w:tc>
        <w:tc>
          <w:tcPr>
            <w:tcW w:w="1695" w:type="dxa"/>
            <w:vMerge w:val="continue"/>
            <w:vAlign w:val="center"/>
          </w:tcPr>
          <w:p w14:paraId="5E7456B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Merge w:val="restart"/>
            <w:vAlign w:val="center"/>
          </w:tcPr>
          <w:p w14:paraId="0270953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（57）加强对政府信息公开专栏建管用的培训指导</w:t>
            </w:r>
          </w:p>
          <w:p w14:paraId="23FE0E66">
            <w:pPr>
              <w:pStyle w:val="3"/>
              <w:ind w:left="0" w:leftChars="0" w:firstLine="0" w:firstLineChars="0"/>
              <w:rPr>
                <w:rFonts w:hint="default"/>
                <w:lang w:val="en-US" w:eastAsia="zh-CN"/>
              </w:rPr>
            </w:pPr>
            <w:r>
              <w:rPr>
                <w:rFonts w:hint="eastAsia" w:ascii="仿宋" w:hAnsi="仿宋" w:eastAsia="仿宋" w:cs="仿宋"/>
                <w:sz w:val="21"/>
                <w:szCs w:val="21"/>
                <w:lang w:val="en-US" w:eastAsia="zh-CN"/>
              </w:rPr>
              <w:t>（58）加大对政府信息公开专栏日常检查频次，将检查结果纳入绩效考核中，及时通报存在的问题，并狠抓问题整改</w:t>
            </w:r>
          </w:p>
        </w:tc>
        <w:tc>
          <w:tcPr>
            <w:tcW w:w="1125" w:type="dxa"/>
            <w:vMerge w:val="restart"/>
            <w:vAlign w:val="center"/>
          </w:tcPr>
          <w:p w14:paraId="5B9DAE6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贯穿全年</w:t>
            </w:r>
          </w:p>
        </w:tc>
        <w:tc>
          <w:tcPr>
            <w:tcW w:w="1737" w:type="dxa"/>
            <w:vMerge w:val="restart"/>
            <w:vAlign w:val="center"/>
          </w:tcPr>
          <w:p w14:paraId="768F5F3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政府信息公开专栏</w:t>
            </w:r>
          </w:p>
          <w:p w14:paraId="04F6F03B">
            <w:pPr>
              <w:pStyle w:val="3"/>
              <w:ind w:left="0" w:leftChars="0"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绩效考核结果</w:t>
            </w:r>
          </w:p>
        </w:tc>
      </w:tr>
      <w:tr w14:paraId="3AA7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170" w:type="dxa"/>
            <w:vMerge w:val="continue"/>
            <w:vAlign w:val="center"/>
          </w:tcPr>
          <w:p w14:paraId="497FFFBE">
            <w:pPr>
              <w:spacing w:after="120"/>
              <w:rPr>
                <w:rFonts w:hint="eastAsia" w:ascii="仿宋" w:hAnsi="仿宋" w:eastAsia="仿宋" w:cs="仿宋"/>
                <w:szCs w:val="21"/>
              </w:rPr>
            </w:pPr>
          </w:p>
        </w:tc>
        <w:tc>
          <w:tcPr>
            <w:tcW w:w="1375" w:type="dxa"/>
            <w:vMerge w:val="continue"/>
            <w:vAlign w:val="center"/>
          </w:tcPr>
          <w:p w14:paraId="4BCD8844">
            <w:pPr>
              <w:keepNext w:val="0"/>
              <w:keepLines w:val="0"/>
              <w:pageBreakBefore w:val="0"/>
              <w:widowControl w:val="0"/>
              <w:kinsoku/>
              <w:wordWrap/>
              <w:overflowPunct/>
              <w:topLinePunct w:val="0"/>
              <w:autoSpaceDE/>
              <w:autoSpaceDN/>
              <w:bidi w:val="0"/>
              <w:adjustRightInd/>
              <w:snapToGrid/>
              <w:spacing w:after="120" w:line="240" w:lineRule="exact"/>
              <w:textAlignment w:val="auto"/>
              <w:rPr>
                <w:rFonts w:hint="eastAsia" w:ascii="仿宋" w:hAnsi="仿宋" w:eastAsia="仿宋" w:cs="仿宋"/>
                <w:szCs w:val="21"/>
                <w:lang w:eastAsia="zh-CN"/>
              </w:rPr>
            </w:pPr>
          </w:p>
        </w:tc>
        <w:tc>
          <w:tcPr>
            <w:tcW w:w="3517" w:type="dxa"/>
            <w:vAlign w:val="center"/>
          </w:tcPr>
          <w:p w14:paraId="345EC3F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51.强化统一政府信息公开平台日常巡查、维护，确保内容及时更新，杜绝错链、断链和内容混杂</w:t>
            </w:r>
          </w:p>
        </w:tc>
        <w:tc>
          <w:tcPr>
            <w:tcW w:w="1695" w:type="dxa"/>
            <w:vMerge w:val="continue"/>
            <w:vAlign w:val="center"/>
          </w:tcPr>
          <w:p w14:paraId="3E69E33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Merge w:val="continue"/>
            <w:vAlign w:val="center"/>
          </w:tcPr>
          <w:p w14:paraId="0E4524B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p>
        </w:tc>
        <w:tc>
          <w:tcPr>
            <w:tcW w:w="1125" w:type="dxa"/>
            <w:vMerge w:val="continue"/>
            <w:vAlign w:val="center"/>
          </w:tcPr>
          <w:p w14:paraId="3911E5F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737" w:type="dxa"/>
            <w:vMerge w:val="continue"/>
            <w:vAlign w:val="center"/>
          </w:tcPr>
          <w:p w14:paraId="73058FA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eastAsia="zh-CN"/>
              </w:rPr>
            </w:pPr>
          </w:p>
        </w:tc>
      </w:tr>
      <w:tr w14:paraId="2C86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170" w:type="dxa"/>
            <w:vMerge w:val="continue"/>
            <w:vAlign w:val="center"/>
          </w:tcPr>
          <w:p w14:paraId="44FF8AAD">
            <w:pPr>
              <w:spacing w:after="120"/>
              <w:rPr>
                <w:rFonts w:hint="eastAsia" w:ascii="仿宋" w:hAnsi="仿宋" w:eastAsia="仿宋" w:cs="仿宋"/>
                <w:szCs w:val="21"/>
              </w:rPr>
            </w:pPr>
          </w:p>
        </w:tc>
        <w:tc>
          <w:tcPr>
            <w:tcW w:w="1375" w:type="dxa"/>
            <w:vMerge w:val="continue"/>
            <w:vAlign w:val="center"/>
          </w:tcPr>
          <w:p w14:paraId="27B3AAD6">
            <w:pPr>
              <w:keepNext w:val="0"/>
              <w:keepLines w:val="0"/>
              <w:pageBreakBefore w:val="0"/>
              <w:widowControl w:val="0"/>
              <w:kinsoku/>
              <w:wordWrap/>
              <w:overflowPunct/>
              <w:topLinePunct w:val="0"/>
              <w:autoSpaceDE/>
              <w:autoSpaceDN/>
              <w:bidi w:val="0"/>
              <w:adjustRightInd/>
              <w:snapToGrid/>
              <w:spacing w:after="120" w:line="240" w:lineRule="exact"/>
              <w:textAlignment w:val="auto"/>
              <w:rPr>
                <w:rFonts w:hint="eastAsia" w:ascii="仿宋" w:hAnsi="仿宋" w:eastAsia="仿宋" w:cs="仿宋"/>
                <w:szCs w:val="21"/>
                <w:lang w:eastAsia="zh-CN"/>
              </w:rPr>
            </w:pPr>
          </w:p>
        </w:tc>
        <w:tc>
          <w:tcPr>
            <w:tcW w:w="3517" w:type="dxa"/>
            <w:vAlign w:val="center"/>
          </w:tcPr>
          <w:p w14:paraId="6C0694B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52.优化政府信息公开专栏建设，并做好法定主动公开内容的规范、集中发布</w:t>
            </w:r>
          </w:p>
        </w:tc>
        <w:tc>
          <w:tcPr>
            <w:tcW w:w="1695" w:type="dxa"/>
            <w:vMerge w:val="continue"/>
            <w:vAlign w:val="center"/>
          </w:tcPr>
          <w:p w14:paraId="13E6465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Merge w:val="continue"/>
            <w:vAlign w:val="center"/>
          </w:tcPr>
          <w:p w14:paraId="4F24D47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p>
        </w:tc>
        <w:tc>
          <w:tcPr>
            <w:tcW w:w="1125" w:type="dxa"/>
            <w:vMerge w:val="continue"/>
            <w:vAlign w:val="center"/>
          </w:tcPr>
          <w:p w14:paraId="2696052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737" w:type="dxa"/>
            <w:vMerge w:val="continue"/>
            <w:vAlign w:val="center"/>
          </w:tcPr>
          <w:p w14:paraId="09BEECB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eastAsia="zh-CN"/>
              </w:rPr>
            </w:pPr>
          </w:p>
        </w:tc>
      </w:tr>
      <w:tr w14:paraId="76AC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70" w:type="dxa"/>
            <w:vMerge w:val="continue"/>
            <w:vAlign w:val="center"/>
          </w:tcPr>
          <w:p w14:paraId="62CBDBF7">
            <w:pPr>
              <w:spacing w:after="120"/>
              <w:rPr>
                <w:rFonts w:hint="eastAsia" w:ascii="仿宋" w:hAnsi="仿宋" w:eastAsia="仿宋" w:cs="仿宋"/>
                <w:szCs w:val="21"/>
              </w:rPr>
            </w:pPr>
          </w:p>
        </w:tc>
        <w:tc>
          <w:tcPr>
            <w:tcW w:w="1375" w:type="dxa"/>
            <w:vMerge w:val="continue"/>
            <w:vAlign w:val="center"/>
          </w:tcPr>
          <w:p w14:paraId="22CF0498">
            <w:pPr>
              <w:keepNext w:val="0"/>
              <w:keepLines w:val="0"/>
              <w:pageBreakBefore w:val="0"/>
              <w:widowControl w:val="0"/>
              <w:kinsoku/>
              <w:wordWrap/>
              <w:overflowPunct/>
              <w:topLinePunct w:val="0"/>
              <w:autoSpaceDE/>
              <w:autoSpaceDN/>
              <w:bidi w:val="0"/>
              <w:adjustRightInd/>
              <w:snapToGrid/>
              <w:spacing w:after="120" w:line="240" w:lineRule="exact"/>
              <w:textAlignment w:val="auto"/>
              <w:rPr>
                <w:rFonts w:hint="eastAsia" w:ascii="仿宋" w:hAnsi="仿宋" w:eastAsia="仿宋" w:cs="仿宋"/>
                <w:szCs w:val="21"/>
                <w:lang w:eastAsia="zh-CN"/>
              </w:rPr>
            </w:pPr>
          </w:p>
        </w:tc>
        <w:tc>
          <w:tcPr>
            <w:tcW w:w="3517" w:type="dxa"/>
            <w:vAlign w:val="center"/>
          </w:tcPr>
          <w:p w14:paraId="7B9102B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53.做好2022年政府信息公开年报编制工作，严格按照时间节点向各级信息公开主管部门提交本机关年度政府信息公开工作年度报告并向社会公布</w:t>
            </w:r>
          </w:p>
        </w:tc>
        <w:tc>
          <w:tcPr>
            <w:tcW w:w="1695" w:type="dxa"/>
            <w:vMerge w:val="continue"/>
            <w:vAlign w:val="center"/>
          </w:tcPr>
          <w:p w14:paraId="3D9D5FA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Merge w:val="continue"/>
            <w:vAlign w:val="center"/>
          </w:tcPr>
          <w:p w14:paraId="0BC7C74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p>
        </w:tc>
        <w:tc>
          <w:tcPr>
            <w:tcW w:w="1125" w:type="dxa"/>
            <w:vMerge w:val="continue"/>
            <w:vAlign w:val="center"/>
          </w:tcPr>
          <w:p w14:paraId="0D4BC7C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737" w:type="dxa"/>
            <w:vMerge w:val="continue"/>
            <w:vAlign w:val="center"/>
          </w:tcPr>
          <w:p w14:paraId="2642B61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eastAsia="zh-CN"/>
              </w:rPr>
            </w:pPr>
          </w:p>
        </w:tc>
      </w:tr>
      <w:tr w14:paraId="7622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70" w:type="dxa"/>
            <w:vAlign w:val="bottom"/>
          </w:tcPr>
          <w:p w14:paraId="64A359BF">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目    标</w:t>
            </w:r>
          </w:p>
        </w:tc>
        <w:tc>
          <w:tcPr>
            <w:tcW w:w="1375" w:type="dxa"/>
            <w:vAlign w:val="bottom"/>
          </w:tcPr>
          <w:p w14:paraId="1F6D94A5">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主要任务</w:t>
            </w:r>
          </w:p>
        </w:tc>
        <w:tc>
          <w:tcPr>
            <w:tcW w:w="3517" w:type="dxa"/>
            <w:vAlign w:val="bottom"/>
          </w:tcPr>
          <w:p w14:paraId="2F2F515B">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仿宋" w:hAnsi="仿宋" w:eastAsia="仿宋" w:cs="仿宋"/>
                <w:kern w:val="2"/>
                <w:sz w:val="21"/>
                <w:szCs w:val="21"/>
                <w:lang w:val="en-US" w:eastAsia="zh-CN" w:bidi="ar-SA"/>
              </w:rPr>
            </w:pPr>
            <w:r>
              <w:rPr>
                <w:rFonts w:hint="eastAsia" w:ascii="黑体" w:hAnsi="黑体" w:eastAsia="黑体"/>
                <w:szCs w:val="21"/>
              </w:rPr>
              <w:t>细化指标</w:t>
            </w:r>
          </w:p>
        </w:tc>
        <w:tc>
          <w:tcPr>
            <w:tcW w:w="1695" w:type="dxa"/>
            <w:vAlign w:val="bottom"/>
          </w:tcPr>
          <w:p w14:paraId="128729AF">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责任单位</w:t>
            </w:r>
          </w:p>
        </w:tc>
        <w:tc>
          <w:tcPr>
            <w:tcW w:w="4888" w:type="dxa"/>
            <w:vAlign w:val="bottom"/>
          </w:tcPr>
          <w:p w14:paraId="146D7145">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工作措施</w:t>
            </w:r>
          </w:p>
        </w:tc>
        <w:tc>
          <w:tcPr>
            <w:tcW w:w="1125" w:type="dxa"/>
            <w:vAlign w:val="bottom"/>
          </w:tcPr>
          <w:p w14:paraId="65617D4E">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完成时限</w:t>
            </w:r>
          </w:p>
        </w:tc>
        <w:tc>
          <w:tcPr>
            <w:tcW w:w="1737" w:type="dxa"/>
            <w:vAlign w:val="bottom"/>
          </w:tcPr>
          <w:p w14:paraId="23F9140C">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2A4D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170" w:type="dxa"/>
            <w:vMerge w:val="restart"/>
            <w:vAlign w:val="center"/>
          </w:tcPr>
          <w:p w14:paraId="211CF07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四、加强信息公开平台建设</w:t>
            </w:r>
          </w:p>
          <w:p w14:paraId="60CBFC55">
            <w:pPr>
              <w:spacing w:after="120"/>
              <w:jc w:val="both"/>
              <w:rPr>
                <w:rFonts w:hint="eastAsia" w:ascii="仿宋" w:hAnsi="仿宋" w:eastAsia="仿宋" w:cs="仿宋"/>
                <w:szCs w:val="21"/>
              </w:rPr>
            </w:pPr>
          </w:p>
        </w:tc>
        <w:tc>
          <w:tcPr>
            <w:tcW w:w="1375" w:type="dxa"/>
            <w:vMerge w:val="restart"/>
            <w:vAlign w:val="center"/>
          </w:tcPr>
          <w:p w14:paraId="2F5CDC48">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（二十二）抓好网站基础保障工作</w:t>
            </w:r>
          </w:p>
        </w:tc>
        <w:tc>
          <w:tcPr>
            <w:tcW w:w="3517" w:type="dxa"/>
            <w:vAlign w:val="center"/>
          </w:tcPr>
          <w:p w14:paraId="01EB39C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54.强化政务新媒体矩阵建设和监督管理，落实好政府系统政务新媒体分级备案制度和向全国政务新媒体信息报送系统登记更新工作，加强地方部门协同联动</w:t>
            </w:r>
          </w:p>
        </w:tc>
        <w:tc>
          <w:tcPr>
            <w:tcW w:w="1695" w:type="dxa"/>
            <w:vMerge w:val="restart"/>
            <w:vAlign w:val="center"/>
          </w:tcPr>
          <w:p w14:paraId="7F581AD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牵头部门：市政数局</w:t>
            </w:r>
          </w:p>
          <w:p w14:paraId="041E3B3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配合部门：市政府各相关部门</w:t>
            </w:r>
          </w:p>
          <w:p w14:paraId="2A549E9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rPr>
              <w:t>县</w:t>
            </w:r>
            <w:r>
              <w:rPr>
                <w:rFonts w:hint="eastAsia" w:ascii="仿宋" w:hAnsi="仿宋" w:eastAsia="仿宋" w:cs="仿宋"/>
                <w:szCs w:val="21"/>
                <w:lang w:eastAsia="zh-CN"/>
              </w:rPr>
              <w:t>（市）</w:t>
            </w:r>
            <w:r>
              <w:rPr>
                <w:rFonts w:hint="eastAsia" w:ascii="仿宋" w:hAnsi="仿宋" w:eastAsia="仿宋" w:cs="仿宋"/>
                <w:szCs w:val="21"/>
              </w:rPr>
              <w:t>区</w:t>
            </w:r>
            <w:r>
              <w:rPr>
                <w:rFonts w:hint="eastAsia" w:ascii="仿宋" w:hAnsi="仿宋" w:eastAsia="仿宋" w:cs="仿宋"/>
                <w:szCs w:val="21"/>
                <w:lang w:eastAsia="zh-CN"/>
              </w:rPr>
              <w:t>政府</w:t>
            </w:r>
          </w:p>
        </w:tc>
        <w:tc>
          <w:tcPr>
            <w:tcW w:w="4888" w:type="dxa"/>
            <w:vAlign w:val="center"/>
          </w:tcPr>
          <w:p w14:paraId="6B2D62E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（59）加大对市政府网站各主题专栏的日常维护和督促责任部门动态更新政府信息，防止出现睡眠</w:t>
            </w:r>
          </w:p>
          <w:p w14:paraId="2C38693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（60）严格按照《四平市政务新媒体管理工作制度》加大日常监管力度，规范工作运行</w:t>
            </w:r>
          </w:p>
        </w:tc>
        <w:tc>
          <w:tcPr>
            <w:tcW w:w="1125" w:type="dxa"/>
            <w:vMerge w:val="restart"/>
            <w:vAlign w:val="center"/>
          </w:tcPr>
          <w:p w14:paraId="3456FD53">
            <w:pPr>
              <w:spacing w:after="120"/>
              <w:jc w:val="both"/>
              <w:rPr>
                <w:rFonts w:hint="eastAsia" w:ascii="仿宋" w:hAnsi="仿宋" w:eastAsia="仿宋" w:cs="仿宋"/>
                <w:szCs w:val="21"/>
              </w:rPr>
            </w:pPr>
            <w:r>
              <w:rPr>
                <w:rFonts w:hint="eastAsia" w:ascii="仿宋" w:hAnsi="仿宋" w:eastAsia="仿宋" w:cs="仿宋"/>
                <w:szCs w:val="21"/>
                <w:lang w:val="en-US" w:eastAsia="zh-CN"/>
              </w:rPr>
              <w:t>贯穿全年</w:t>
            </w:r>
          </w:p>
        </w:tc>
        <w:tc>
          <w:tcPr>
            <w:tcW w:w="1737" w:type="dxa"/>
            <w:vAlign w:val="center"/>
          </w:tcPr>
          <w:p w14:paraId="7A3583F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市政府门户网站各主题专栏；</w:t>
            </w:r>
          </w:p>
          <w:p w14:paraId="6AB0009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政务新媒体定期检查通报</w:t>
            </w:r>
          </w:p>
        </w:tc>
      </w:tr>
      <w:tr w14:paraId="398E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70" w:type="dxa"/>
            <w:vMerge w:val="continue"/>
            <w:vAlign w:val="center"/>
          </w:tcPr>
          <w:p w14:paraId="57009F0C">
            <w:pPr>
              <w:spacing w:after="120"/>
              <w:ind w:left="420" w:leftChars="200"/>
              <w:jc w:val="center"/>
              <w:rPr>
                <w:rFonts w:hint="eastAsia" w:ascii="仿宋" w:hAnsi="仿宋" w:eastAsia="仿宋" w:cs="仿宋"/>
                <w:szCs w:val="21"/>
              </w:rPr>
            </w:pPr>
          </w:p>
        </w:tc>
        <w:tc>
          <w:tcPr>
            <w:tcW w:w="1375" w:type="dxa"/>
            <w:vMerge w:val="continue"/>
            <w:vAlign w:val="center"/>
          </w:tcPr>
          <w:p w14:paraId="29354B54">
            <w:pPr>
              <w:spacing w:after="120"/>
              <w:ind w:left="420" w:leftChars="200"/>
              <w:rPr>
                <w:rFonts w:hint="eastAsia" w:ascii="仿宋" w:hAnsi="仿宋" w:eastAsia="仿宋" w:cs="仿宋"/>
                <w:szCs w:val="21"/>
              </w:rPr>
            </w:pPr>
          </w:p>
        </w:tc>
        <w:tc>
          <w:tcPr>
            <w:tcW w:w="3517" w:type="dxa"/>
            <w:vAlign w:val="center"/>
          </w:tcPr>
          <w:p w14:paraId="00F8E92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55.规范高效办理“我为政府网站找错”平台网民留言</w:t>
            </w:r>
          </w:p>
        </w:tc>
        <w:tc>
          <w:tcPr>
            <w:tcW w:w="1695" w:type="dxa"/>
            <w:vMerge w:val="continue"/>
            <w:vAlign w:val="center"/>
          </w:tcPr>
          <w:p w14:paraId="4B24F65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4888" w:type="dxa"/>
            <w:vAlign w:val="center"/>
          </w:tcPr>
          <w:p w14:paraId="4C84228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（61）建立健全政府网站信息纠错工作机制，常态推进工作</w:t>
            </w:r>
          </w:p>
        </w:tc>
        <w:tc>
          <w:tcPr>
            <w:tcW w:w="1125" w:type="dxa"/>
            <w:vMerge w:val="continue"/>
            <w:vAlign w:val="center"/>
          </w:tcPr>
          <w:p w14:paraId="01359BBC">
            <w:pPr>
              <w:spacing w:after="120"/>
              <w:ind w:left="420" w:leftChars="200"/>
              <w:jc w:val="left"/>
              <w:rPr>
                <w:rFonts w:hint="eastAsia" w:ascii="仿宋" w:hAnsi="仿宋" w:eastAsia="仿宋" w:cs="仿宋"/>
                <w:szCs w:val="21"/>
              </w:rPr>
            </w:pPr>
          </w:p>
        </w:tc>
        <w:tc>
          <w:tcPr>
            <w:tcW w:w="1737" w:type="dxa"/>
            <w:vAlign w:val="center"/>
          </w:tcPr>
          <w:p w14:paraId="7E0793AC">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“我为政府网站找错”平台</w:t>
            </w:r>
          </w:p>
        </w:tc>
      </w:tr>
      <w:tr w14:paraId="53BA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170" w:type="dxa"/>
            <w:vMerge w:val="continue"/>
            <w:vAlign w:val="center"/>
          </w:tcPr>
          <w:p w14:paraId="3A9D1168">
            <w:pPr>
              <w:spacing w:after="120"/>
              <w:ind w:left="420" w:leftChars="200"/>
              <w:jc w:val="center"/>
              <w:rPr>
                <w:rFonts w:hint="eastAsia" w:ascii="仿宋" w:hAnsi="仿宋" w:eastAsia="仿宋" w:cs="仿宋"/>
                <w:szCs w:val="21"/>
              </w:rPr>
            </w:pPr>
          </w:p>
        </w:tc>
        <w:tc>
          <w:tcPr>
            <w:tcW w:w="1375" w:type="dxa"/>
            <w:vAlign w:val="center"/>
          </w:tcPr>
          <w:p w14:paraId="1055C660">
            <w:pPr>
              <w:spacing w:after="120"/>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eastAsia="zh-CN"/>
              </w:rPr>
              <w:t>二十三</w:t>
            </w:r>
            <w:r>
              <w:rPr>
                <w:rFonts w:hint="eastAsia" w:ascii="仿宋" w:hAnsi="仿宋" w:eastAsia="仿宋" w:cs="仿宋"/>
                <w:szCs w:val="21"/>
              </w:rPr>
              <w:t>）</w:t>
            </w:r>
            <w:r>
              <w:rPr>
                <w:rFonts w:hint="eastAsia" w:ascii="仿宋" w:hAnsi="仿宋" w:eastAsia="仿宋" w:cs="仿宋"/>
                <w:szCs w:val="21"/>
                <w:lang w:val="en-US" w:eastAsia="zh-CN"/>
              </w:rPr>
              <w:t>加大政策咨询窗口建设力度</w:t>
            </w:r>
          </w:p>
        </w:tc>
        <w:tc>
          <w:tcPr>
            <w:tcW w:w="3517" w:type="dxa"/>
            <w:vAlign w:val="center"/>
          </w:tcPr>
          <w:p w14:paraId="796F07B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56.提高政务服务便民热线、实体服务大厅的政策咨询服务水平，更好解答生育、上学、就业、创业、养老、医疗、纳税、疫情防控等方面与人民群众切身利益密切相关的问题</w:t>
            </w:r>
          </w:p>
        </w:tc>
        <w:tc>
          <w:tcPr>
            <w:tcW w:w="1695" w:type="dxa"/>
            <w:vMerge w:val="continue"/>
            <w:vAlign w:val="center"/>
          </w:tcPr>
          <w:p w14:paraId="1A1B771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4888" w:type="dxa"/>
            <w:vAlign w:val="center"/>
          </w:tcPr>
          <w:p w14:paraId="77215C3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（62）在市政务大厅设立政策咨询服务窗口</w:t>
            </w:r>
          </w:p>
          <w:p w14:paraId="773A4F0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val="en-US" w:eastAsia="zh-CN"/>
              </w:rPr>
            </w:pPr>
            <w:r>
              <w:rPr>
                <w:rFonts w:hint="eastAsia"/>
                <w:lang w:val="en-US" w:eastAsia="zh-CN"/>
              </w:rPr>
              <w:t>（63）</w:t>
            </w:r>
            <w:r>
              <w:rPr>
                <w:rFonts w:hint="eastAsia" w:ascii="仿宋" w:hAnsi="仿宋" w:eastAsia="仿宋" w:cs="仿宋"/>
                <w:szCs w:val="21"/>
                <w:lang w:val="en-US" w:eastAsia="zh-CN"/>
              </w:rPr>
              <w:t>在12345政务服热线提供政策咨询服务</w:t>
            </w:r>
          </w:p>
        </w:tc>
        <w:tc>
          <w:tcPr>
            <w:tcW w:w="1125" w:type="dxa"/>
            <w:vAlign w:val="center"/>
          </w:tcPr>
          <w:p w14:paraId="71A68046">
            <w:pPr>
              <w:spacing w:after="120"/>
              <w:jc w:val="both"/>
              <w:rPr>
                <w:rFonts w:hint="eastAsia" w:ascii="仿宋" w:hAnsi="仿宋" w:eastAsia="仿宋" w:cs="仿宋"/>
                <w:szCs w:val="21"/>
              </w:rPr>
            </w:pPr>
            <w:r>
              <w:rPr>
                <w:rFonts w:hint="eastAsia" w:ascii="仿宋" w:hAnsi="仿宋" w:eastAsia="仿宋" w:cs="仿宋"/>
                <w:szCs w:val="21"/>
              </w:rPr>
              <w:t>贯穿全年</w:t>
            </w:r>
          </w:p>
        </w:tc>
        <w:tc>
          <w:tcPr>
            <w:tcW w:w="1737" w:type="dxa"/>
            <w:vAlign w:val="center"/>
          </w:tcPr>
          <w:p w14:paraId="450ECA0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市政务大厅政策咨询服务窗口；</w:t>
            </w:r>
          </w:p>
          <w:p w14:paraId="316B70F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12345热线服务</w:t>
            </w:r>
          </w:p>
        </w:tc>
      </w:tr>
      <w:tr w14:paraId="40AD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70" w:type="dxa"/>
            <w:vMerge w:val="continue"/>
            <w:vAlign w:val="center"/>
          </w:tcPr>
          <w:p w14:paraId="2B35808B">
            <w:pPr>
              <w:spacing w:after="120"/>
              <w:ind w:left="420" w:leftChars="200"/>
              <w:jc w:val="center"/>
              <w:rPr>
                <w:rFonts w:hint="eastAsia" w:ascii="仿宋" w:hAnsi="仿宋" w:eastAsia="仿宋" w:cs="仿宋"/>
                <w:szCs w:val="21"/>
              </w:rPr>
            </w:pPr>
          </w:p>
        </w:tc>
        <w:tc>
          <w:tcPr>
            <w:tcW w:w="1375" w:type="dxa"/>
            <w:vAlign w:val="center"/>
          </w:tcPr>
          <w:p w14:paraId="7CEAEA69">
            <w:pPr>
              <w:spacing w:after="120"/>
              <w:rPr>
                <w:rFonts w:hint="eastAsia" w:ascii="仿宋" w:hAnsi="仿宋" w:eastAsia="仿宋" w:cs="仿宋"/>
                <w:szCs w:val="21"/>
                <w:lang w:eastAsia="zh-CN"/>
              </w:rPr>
            </w:pPr>
            <w:r>
              <w:rPr>
                <w:rFonts w:hint="eastAsia" w:ascii="仿宋" w:hAnsi="仿宋" w:eastAsia="仿宋" w:cs="仿宋"/>
                <w:szCs w:val="21"/>
                <w:lang w:eastAsia="zh-CN"/>
              </w:rPr>
              <w:t>（二十四）推进线上政策咨询智能回复</w:t>
            </w:r>
          </w:p>
        </w:tc>
        <w:tc>
          <w:tcPr>
            <w:tcW w:w="3517" w:type="dxa"/>
            <w:vAlign w:val="center"/>
          </w:tcPr>
          <w:p w14:paraId="3085D6C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57.加强人工智能等技术运用，建设统一的智能化政策问答平台</w:t>
            </w:r>
          </w:p>
        </w:tc>
        <w:tc>
          <w:tcPr>
            <w:tcW w:w="1695" w:type="dxa"/>
            <w:vMerge w:val="continue"/>
            <w:vAlign w:val="center"/>
          </w:tcPr>
          <w:p w14:paraId="31FBA8F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p>
        </w:tc>
        <w:tc>
          <w:tcPr>
            <w:tcW w:w="4888" w:type="dxa"/>
            <w:vAlign w:val="center"/>
          </w:tcPr>
          <w:p w14:paraId="581F9AF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val="en-US" w:eastAsia="zh-CN"/>
              </w:rPr>
            </w:pPr>
            <w:r>
              <w:rPr>
                <w:rFonts w:hint="eastAsia" w:ascii="仿宋" w:hAnsi="仿宋" w:eastAsia="仿宋" w:cs="仿宋"/>
                <w:lang w:val="en-US" w:eastAsia="zh-CN"/>
              </w:rPr>
              <w:t>（64）按照省办公厅指示要求，市政府办公室统一调度统建或自建系统平台，市政数局和其他相关部门配合建好数据库，抓好数据采集和对接工作</w:t>
            </w:r>
          </w:p>
        </w:tc>
        <w:tc>
          <w:tcPr>
            <w:tcW w:w="1125" w:type="dxa"/>
            <w:vAlign w:val="center"/>
          </w:tcPr>
          <w:p w14:paraId="3312D9D9">
            <w:pPr>
              <w:spacing w:after="120"/>
              <w:jc w:val="both"/>
              <w:rPr>
                <w:rFonts w:hint="eastAsia" w:ascii="仿宋" w:hAnsi="仿宋" w:eastAsia="仿宋" w:cs="仿宋"/>
                <w:szCs w:val="21"/>
              </w:rPr>
            </w:pPr>
            <w:r>
              <w:rPr>
                <w:rFonts w:hint="eastAsia" w:ascii="仿宋" w:hAnsi="仿宋" w:eastAsia="仿宋" w:cs="仿宋"/>
                <w:szCs w:val="21"/>
                <w:lang w:val="en-US" w:eastAsia="zh-CN"/>
              </w:rPr>
              <w:t>12月底前</w:t>
            </w:r>
          </w:p>
        </w:tc>
        <w:tc>
          <w:tcPr>
            <w:tcW w:w="1737" w:type="dxa"/>
            <w:vAlign w:val="center"/>
          </w:tcPr>
          <w:p w14:paraId="5117407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政策问答智能化平台</w:t>
            </w:r>
          </w:p>
        </w:tc>
      </w:tr>
      <w:tr w14:paraId="4F9C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70" w:type="dxa"/>
            <w:vMerge w:val="restart"/>
            <w:vAlign w:val="center"/>
          </w:tcPr>
          <w:p w14:paraId="3DF362E4">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五、持续深入推进基层政务公开</w:t>
            </w:r>
            <w:r>
              <w:rPr>
                <w:rFonts w:hint="eastAsia" w:ascii="仿宋" w:hAnsi="仿宋" w:eastAsia="仿宋" w:cs="仿宋"/>
                <w:kern w:val="2"/>
                <w:sz w:val="21"/>
                <w:szCs w:val="21"/>
                <w:lang w:val="en-US" w:eastAsia="zh-CN" w:bidi="ar-SA"/>
              </w:rPr>
              <w:t>标准化规范化建设</w:t>
            </w:r>
          </w:p>
        </w:tc>
        <w:tc>
          <w:tcPr>
            <w:tcW w:w="1375" w:type="dxa"/>
            <w:vMerge w:val="restart"/>
            <w:vAlign w:val="center"/>
          </w:tcPr>
          <w:p w14:paraId="56406B28">
            <w:pPr>
              <w:spacing w:after="120"/>
              <w:rPr>
                <w:rFonts w:hint="eastAsia" w:ascii="仿宋" w:hAnsi="仿宋" w:eastAsia="仿宋" w:cs="仿宋"/>
                <w:szCs w:val="21"/>
                <w:lang w:eastAsia="zh-CN"/>
              </w:rPr>
            </w:pPr>
            <w:r>
              <w:rPr>
                <w:rFonts w:hint="eastAsia" w:ascii="仿宋" w:hAnsi="仿宋" w:eastAsia="仿宋" w:cs="仿宋"/>
                <w:szCs w:val="21"/>
                <w:lang w:eastAsia="zh-CN"/>
              </w:rPr>
              <w:t>（二十五）做好政务公开标准化目录动态优化更新</w:t>
            </w:r>
          </w:p>
        </w:tc>
        <w:tc>
          <w:tcPr>
            <w:tcW w:w="3517" w:type="dxa"/>
            <w:vAlign w:val="center"/>
          </w:tcPr>
          <w:p w14:paraId="4832F83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58.对已梳理完成的26个领域标准目录开展自查自纠工作，及时优化更新本地区相关领域事项标准目录</w:t>
            </w:r>
          </w:p>
        </w:tc>
        <w:tc>
          <w:tcPr>
            <w:tcW w:w="1695" w:type="dxa"/>
            <w:vMerge w:val="restart"/>
            <w:vAlign w:val="center"/>
          </w:tcPr>
          <w:p w14:paraId="0977C87A">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牵头部门：市政数局</w:t>
            </w:r>
          </w:p>
          <w:p w14:paraId="26189BA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配合部门：市政府各相关部门</w:t>
            </w:r>
          </w:p>
          <w:p w14:paraId="7A138A5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县（市）区政府</w:t>
            </w:r>
          </w:p>
        </w:tc>
        <w:tc>
          <w:tcPr>
            <w:tcW w:w="4888" w:type="dxa"/>
            <w:vAlign w:val="center"/>
          </w:tcPr>
          <w:p w14:paraId="49A4B31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（65）结合开展对2021年度政务公开国办第三方评估反馈问题整改和排查工作，对基层政务公开26个领域标准目录制定公开情况进行自查自纠</w:t>
            </w:r>
          </w:p>
        </w:tc>
        <w:tc>
          <w:tcPr>
            <w:tcW w:w="1125" w:type="dxa"/>
            <w:vAlign w:val="center"/>
          </w:tcPr>
          <w:p w14:paraId="2E98A8C6">
            <w:pPr>
              <w:spacing w:after="120"/>
              <w:jc w:val="both"/>
              <w:rPr>
                <w:rFonts w:hint="eastAsia" w:ascii="仿宋" w:hAnsi="仿宋" w:eastAsia="仿宋" w:cs="仿宋"/>
                <w:szCs w:val="21"/>
                <w:lang w:val="en-US" w:eastAsia="zh-CN"/>
              </w:rPr>
            </w:pPr>
            <w:r>
              <w:rPr>
                <w:rFonts w:hint="eastAsia" w:ascii="仿宋" w:hAnsi="仿宋" w:eastAsia="仿宋" w:cs="仿宋"/>
                <w:szCs w:val="21"/>
                <w:lang w:val="en-US" w:eastAsia="zh-CN"/>
              </w:rPr>
              <w:t>7月底前</w:t>
            </w:r>
          </w:p>
        </w:tc>
        <w:tc>
          <w:tcPr>
            <w:tcW w:w="1737" w:type="dxa"/>
            <w:vAlign w:val="center"/>
          </w:tcPr>
          <w:p w14:paraId="0D89236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各领域公开事项标准目录</w:t>
            </w:r>
          </w:p>
        </w:tc>
      </w:tr>
      <w:tr w14:paraId="081D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170" w:type="dxa"/>
            <w:vMerge w:val="continue"/>
            <w:vAlign w:val="center"/>
          </w:tcPr>
          <w:p w14:paraId="0B0F4ABC">
            <w:pPr>
              <w:spacing w:after="120"/>
              <w:ind w:left="420" w:leftChars="200"/>
              <w:jc w:val="center"/>
              <w:rPr>
                <w:rFonts w:hint="eastAsia" w:ascii="仿宋" w:hAnsi="仿宋" w:eastAsia="仿宋" w:cs="仿宋"/>
                <w:szCs w:val="21"/>
              </w:rPr>
            </w:pPr>
          </w:p>
        </w:tc>
        <w:tc>
          <w:tcPr>
            <w:tcW w:w="1375" w:type="dxa"/>
            <w:vMerge w:val="continue"/>
            <w:vAlign w:val="center"/>
          </w:tcPr>
          <w:p w14:paraId="18C0FFC1">
            <w:pPr>
              <w:spacing w:after="120"/>
              <w:rPr>
                <w:rFonts w:hint="eastAsia" w:ascii="仿宋" w:hAnsi="仿宋" w:eastAsia="仿宋" w:cs="仿宋"/>
                <w:szCs w:val="21"/>
              </w:rPr>
            </w:pPr>
          </w:p>
        </w:tc>
        <w:tc>
          <w:tcPr>
            <w:tcW w:w="3517" w:type="dxa"/>
            <w:vAlign w:val="center"/>
          </w:tcPr>
          <w:p w14:paraId="2121D27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59.对照国家部委新下发的基层政务公开事项标准目录指引和中省直部门的推进方案，细化梳理编制本地区新增领域标准目录，并发布实施</w:t>
            </w:r>
          </w:p>
        </w:tc>
        <w:tc>
          <w:tcPr>
            <w:tcW w:w="1695" w:type="dxa"/>
            <w:vMerge w:val="continue"/>
            <w:vAlign w:val="center"/>
          </w:tcPr>
          <w:p w14:paraId="44984D0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4888" w:type="dxa"/>
            <w:vAlign w:val="center"/>
          </w:tcPr>
          <w:p w14:paraId="2A79BAA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val="en-US" w:eastAsia="zh-CN"/>
              </w:rPr>
            </w:pPr>
            <w:r>
              <w:rPr>
                <w:rFonts w:hint="eastAsia" w:ascii="仿宋" w:hAnsi="仿宋" w:eastAsia="仿宋" w:cs="仿宋"/>
                <w:lang w:val="en-US" w:eastAsia="zh-CN"/>
              </w:rPr>
              <w:t>（66）及时转载国家部委新下发的基层政务公开事项标准目录指引，联合相关行业主管局按照省对应下发的方案，指导基层推进公开事项梳理和新增领域标准目录制定工作</w:t>
            </w:r>
          </w:p>
        </w:tc>
        <w:tc>
          <w:tcPr>
            <w:tcW w:w="1125" w:type="dxa"/>
            <w:vAlign w:val="center"/>
          </w:tcPr>
          <w:p w14:paraId="7FB9A763">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贯穿全年</w:t>
            </w:r>
          </w:p>
        </w:tc>
        <w:tc>
          <w:tcPr>
            <w:tcW w:w="1737" w:type="dxa"/>
            <w:vAlign w:val="center"/>
          </w:tcPr>
          <w:p w14:paraId="4668457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新增领域公开事项标准目录</w:t>
            </w:r>
          </w:p>
        </w:tc>
      </w:tr>
      <w:tr w14:paraId="7B5D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170" w:type="dxa"/>
            <w:vMerge w:val="continue"/>
            <w:vAlign w:val="center"/>
          </w:tcPr>
          <w:p w14:paraId="16E5D9E0">
            <w:pPr>
              <w:spacing w:after="120"/>
              <w:ind w:left="420" w:leftChars="200"/>
              <w:jc w:val="center"/>
              <w:rPr>
                <w:rFonts w:hint="eastAsia" w:ascii="仿宋" w:hAnsi="仿宋" w:eastAsia="仿宋" w:cs="仿宋"/>
                <w:szCs w:val="21"/>
              </w:rPr>
            </w:pPr>
          </w:p>
        </w:tc>
        <w:tc>
          <w:tcPr>
            <w:tcW w:w="1375" w:type="dxa"/>
            <w:vMerge w:val="continue"/>
            <w:vAlign w:val="center"/>
          </w:tcPr>
          <w:p w14:paraId="2435DF65">
            <w:pPr>
              <w:spacing w:after="120"/>
              <w:rPr>
                <w:rFonts w:hint="eastAsia" w:ascii="仿宋" w:hAnsi="仿宋" w:eastAsia="仿宋" w:cs="仿宋"/>
                <w:szCs w:val="21"/>
              </w:rPr>
            </w:pPr>
          </w:p>
        </w:tc>
        <w:tc>
          <w:tcPr>
            <w:tcW w:w="3517" w:type="dxa"/>
            <w:vAlign w:val="center"/>
          </w:tcPr>
          <w:p w14:paraId="3024021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60.做好市、县两级事权区分衔接，确保信息公开全面、系统、准确</w:t>
            </w:r>
          </w:p>
        </w:tc>
        <w:tc>
          <w:tcPr>
            <w:tcW w:w="1695" w:type="dxa"/>
            <w:vMerge w:val="continue"/>
            <w:vAlign w:val="center"/>
          </w:tcPr>
          <w:p w14:paraId="565E1E1F">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rPr>
            </w:pPr>
          </w:p>
        </w:tc>
        <w:tc>
          <w:tcPr>
            <w:tcW w:w="4888" w:type="dxa"/>
            <w:vAlign w:val="center"/>
          </w:tcPr>
          <w:p w14:paraId="669A236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lang w:val="en-US" w:eastAsia="zh-CN"/>
              </w:rPr>
            </w:pPr>
            <w:r>
              <w:rPr>
                <w:rFonts w:hint="eastAsia" w:ascii="仿宋" w:hAnsi="仿宋" w:eastAsia="仿宋" w:cs="仿宋"/>
                <w:lang w:val="en-US" w:eastAsia="zh-CN"/>
              </w:rPr>
              <w:t>（67）按照省里统一安排部署，动态开展权责事项梳理、调整、衔接，及时调整公开事项目录</w:t>
            </w:r>
          </w:p>
        </w:tc>
        <w:tc>
          <w:tcPr>
            <w:tcW w:w="1125" w:type="dxa"/>
            <w:vAlign w:val="center"/>
          </w:tcPr>
          <w:p w14:paraId="662FFD5C">
            <w:pPr>
              <w:spacing w:after="120"/>
              <w:jc w:val="both"/>
              <w:rPr>
                <w:rFonts w:hint="default" w:ascii="仿宋" w:hAnsi="仿宋" w:eastAsia="仿宋" w:cs="仿宋"/>
                <w:szCs w:val="21"/>
                <w:lang w:val="en-US" w:eastAsia="zh-CN"/>
              </w:rPr>
            </w:pPr>
            <w:r>
              <w:rPr>
                <w:rFonts w:hint="eastAsia" w:ascii="仿宋" w:hAnsi="仿宋" w:eastAsia="仿宋" w:cs="仿宋"/>
                <w:szCs w:val="21"/>
                <w:lang w:val="en-US" w:eastAsia="zh-CN"/>
              </w:rPr>
              <w:t>11月底前</w:t>
            </w:r>
          </w:p>
        </w:tc>
        <w:tc>
          <w:tcPr>
            <w:tcW w:w="1737" w:type="dxa"/>
            <w:vAlign w:val="center"/>
          </w:tcPr>
          <w:p w14:paraId="1F8F5A9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动态调整的权责清单</w:t>
            </w:r>
          </w:p>
        </w:tc>
      </w:tr>
      <w:tr w14:paraId="1A3D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70" w:type="dxa"/>
            <w:vAlign w:val="bottom"/>
          </w:tcPr>
          <w:p w14:paraId="1CBEFD6D">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目    标</w:t>
            </w:r>
          </w:p>
        </w:tc>
        <w:tc>
          <w:tcPr>
            <w:tcW w:w="1375" w:type="dxa"/>
            <w:vAlign w:val="bottom"/>
          </w:tcPr>
          <w:p w14:paraId="2FA042A9">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主要任务</w:t>
            </w:r>
          </w:p>
        </w:tc>
        <w:tc>
          <w:tcPr>
            <w:tcW w:w="3517" w:type="dxa"/>
            <w:vAlign w:val="bottom"/>
          </w:tcPr>
          <w:p w14:paraId="3312455D">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仿宋" w:hAnsi="仿宋" w:eastAsia="仿宋" w:cs="仿宋"/>
                <w:kern w:val="2"/>
                <w:sz w:val="21"/>
                <w:szCs w:val="21"/>
                <w:lang w:val="en-US" w:eastAsia="zh-CN" w:bidi="ar-SA"/>
              </w:rPr>
            </w:pPr>
            <w:r>
              <w:rPr>
                <w:rFonts w:hint="eastAsia" w:ascii="黑体" w:hAnsi="黑体" w:eastAsia="黑体"/>
                <w:szCs w:val="21"/>
              </w:rPr>
              <w:t>细化指标</w:t>
            </w:r>
          </w:p>
        </w:tc>
        <w:tc>
          <w:tcPr>
            <w:tcW w:w="1695" w:type="dxa"/>
            <w:vAlign w:val="bottom"/>
          </w:tcPr>
          <w:p w14:paraId="381FBC47">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责任单位</w:t>
            </w:r>
          </w:p>
        </w:tc>
        <w:tc>
          <w:tcPr>
            <w:tcW w:w="4888" w:type="dxa"/>
            <w:vAlign w:val="bottom"/>
          </w:tcPr>
          <w:p w14:paraId="3F2FF9D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工作措施</w:t>
            </w:r>
          </w:p>
        </w:tc>
        <w:tc>
          <w:tcPr>
            <w:tcW w:w="1125" w:type="dxa"/>
            <w:vAlign w:val="bottom"/>
          </w:tcPr>
          <w:p w14:paraId="3BD9235E">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完成时限</w:t>
            </w:r>
          </w:p>
        </w:tc>
        <w:tc>
          <w:tcPr>
            <w:tcW w:w="1737" w:type="dxa"/>
            <w:vAlign w:val="bottom"/>
          </w:tcPr>
          <w:p w14:paraId="0CC5F73B">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0BB4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70" w:type="dxa"/>
            <w:vMerge w:val="restart"/>
            <w:vAlign w:val="center"/>
          </w:tcPr>
          <w:p w14:paraId="0F233204">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五、持续深入推进基层政务公开</w:t>
            </w:r>
            <w:r>
              <w:rPr>
                <w:rFonts w:hint="eastAsia" w:ascii="仿宋" w:hAnsi="仿宋" w:eastAsia="仿宋" w:cs="仿宋"/>
                <w:kern w:val="2"/>
                <w:sz w:val="21"/>
                <w:szCs w:val="21"/>
                <w:lang w:val="en-US" w:eastAsia="zh-CN" w:bidi="ar-SA"/>
              </w:rPr>
              <w:t>标准化规范化建设</w:t>
            </w:r>
          </w:p>
        </w:tc>
        <w:tc>
          <w:tcPr>
            <w:tcW w:w="1375" w:type="dxa"/>
            <w:vMerge w:val="restart"/>
            <w:vAlign w:val="center"/>
          </w:tcPr>
          <w:p w14:paraId="5FED5D0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（二十六）进一步优化标准目录应用和展示</w:t>
            </w:r>
          </w:p>
        </w:tc>
        <w:tc>
          <w:tcPr>
            <w:tcW w:w="3517" w:type="dxa"/>
            <w:vAlign w:val="center"/>
          </w:tcPr>
          <w:p w14:paraId="546CA9A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61.依托政府门户网站或政府信息公开专栏开设专题栏目，集中公开本地区基层政务公开标准化规范化工作落实情况，并分类展示各领域基层政务公开标准目录</w:t>
            </w:r>
          </w:p>
        </w:tc>
        <w:tc>
          <w:tcPr>
            <w:tcW w:w="1695" w:type="dxa"/>
            <w:vMerge w:val="restart"/>
            <w:vAlign w:val="center"/>
          </w:tcPr>
          <w:p w14:paraId="4DB24B5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各县（市）区政府</w:t>
            </w:r>
          </w:p>
        </w:tc>
        <w:tc>
          <w:tcPr>
            <w:tcW w:w="4888" w:type="dxa"/>
            <w:vAlign w:val="center"/>
          </w:tcPr>
          <w:p w14:paraId="684CA7F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（68）开设专题栏目，集中公开本地区各领域基层政务公开标准目录，分类展示</w:t>
            </w:r>
          </w:p>
        </w:tc>
        <w:tc>
          <w:tcPr>
            <w:tcW w:w="1125" w:type="dxa"/>
            <w:vAlign w:val="center"/>
          </w:tcPr>
          <w:p w14:paraId="3C386C8D">
            <w:pPr>
              <w:spacing w:after="120"/>
              <w:jc w:val="both"/>
              <w:rPr>
                <w:rFonts w:hint="default" w:ascii="仿宋" w:hAnsi="仿宋" w:eastAsia="仿宋" w:cs="仿宋"/>
                <w:szCs w:val="21"/>
                <w:lang w:val="en-US" w:eastAsia="zh-CN"/>
              </w:rPr>
            </w:pPr>
            <w:r>
              <w:rPr>
                <w:rFonts w:hint="eastAsia" w:ascii="仿宋" w:hAnsi="仿宋" w:eastAsia="仿宋" w:cs="仿宋"/>
                <w:szCs w:val="21"/>
                <w:lang w:val="en-US" w:eastAsia="zh-CN"/>
              </w:rPr>
              <w:t>11月底前</w:t>
            </w:r>
          </w:p>
        </w:tc>
        <w:tc>
          <w:tcPr>
            <w:tcW w:w="1737" w:type="dxa"/>
            <w:vAlign w:val="center"/>
          </w:tcPr>
          <w:p w14:paraId="319DE08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基层政务公开标准化目录主题栏目</w:t>
            </w:r>
          </w:p>
        </w:tc>
      </w:tr>
      <w:tr w14:paraId="1158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70" w:type="dxa"/>
            <w:vMerge w:val="continue"/>
            <w:vAlign w:val="center"/>
          </w:tcPr>
          <w:p w14:paraId="51008636">
            <w:pPr>
              <w:spacing w:after="120"/>
              <w:jc w:val="both"/>
              <w:rPr>
                <w:rFonts w:hint="eastAsia" w:ascii="仿宋" w:hAnsi="仿宋" w:eastAsia="仿宋" w:cs="仿宋"/>
                <w:szCs w:val="21"/>
                <w:lang w:eastAsia="zh-CN"/>
              </w:rPr>
            </w:pPr>
          </w:p>
        </w:tc>
        <w:tc>
          <w:tcPr>
            <w:tcW w:w="1375" w:type="dxa"/>
            <w:vMerge w:val="continue"/>
            <w:vAlign w:val="center"/>
          </w:tcPr>
          <w:p w14:paraId="6BDA59A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3517" w:type="dxa"/>
            <w:vAlign w:val="center"/>
          </w:tcPr>
          <w:p w14:paraId="7A154AB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62.指导、督促各部门、各街镇优化政府信息管理、信息发布、解读回应、依申请公开、公众参与、监督考核等工作流程，并建立完善相关制度</w:t>
            </w:r>
          </w:p>
        </w:tc>
        <w:tc>
          <w:tcPr>
            <w:tcW w:w="1695" w:type="dxa"/>
            <w:vMerge w:val="continue"/>
            <w:vAlign w:val="center"/>
          </w:tcPr>
          <w:p w14:paraId="1FE5B39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eastAsia="zh-CN"/>
              </w:rPr>
            </w:pPr>
          </w:p>
        </w:tc>
        <w:tc>
          <w:tcPr>
            <w:tcW w:w="4888" w:type="dxa"/>
            <w:vAlign w:val="center"/>
          </w:tcPr>
          <w:p w14:paraId="52480008">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（69）持续推进政务公开标准化规范化工作，狠抓制度落实</w:t>
            </w:r>
          </w:p>
        </w:tc>
        <w:tc>
          <w:tcPr>
            <w:tcW w:w="1125" w:type="dxa"/>
            <w:vAlign w:val="center"/>
          </w:tcPr>
          <w:p w14:paraId="3187E8C9">
            <w:pPr>
              <w:spacing w:after="120"/>
              <w:jc w:val="both"/>
              <w:rPr>
                <w:rFonts w:hint="eastAsia" w:ascii="仿宋" w:hAnsi="仿宋" w:eastAsia="仿宋" w:cs="仿宋"/>
                <w:szCs w:val="21"/>
              </w:rPr>
            </w:pPr>
            <w:r>
              <w:rPr>
                <w:rFonts w:hint="eastAsia" w:ascii="仿宋" w:hAnsi="仿宋" w:eastAsia="仿宋" w:cs="仿宋"/>
                <w:szCs w:val="21"/>
                <w:lang w:val="en-US" w:eastAsia="zh-CN"/>
              </w:rPr>
              <w:t>11月底前</w:t>
            </w:r>
          </w:p>
        </w:tc>
        <w:tc>
          <w:tcPr>
            <w:tcW w:w="1737" w:type="dxa"/>
            <w:vAlign w:val="center"/>
          </w:tcPr>
          <w:p w14:paraId="1373D00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配套工作制度</w:t>
            </w:r>
          </w:p>
        </w:tc>
      </w:tr>
      <w:tr w14:paraId="5810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70" w:type="dxa"/>
            <w:vMerge w:val="continue"/>
            <w:vAlign w:val="center"/>
          </w:tcPr>
          <w:p w14:paraId="7EE39D1F">
            <w:pPr>
              <w:spacing w:after="120"/>
              <w:jc w:val="both"/>
              <w:rPr>
                <w:rFonts w:hint="eastAsia" w:ascii="仿宋" w:hAnsi="仿宋" w:eastAsia="仿宋" w:cs="仿宋"/>
                <w:szCs w:val="21"/>
                <w:lang w:eastAsia="zh-CN"/>
              </w:rPr>
            </w:pPr>
          </w:p>
        </w:tc>
        <w:tc>
          <w:tcPr>
            <w:tcW w:w="1375" w:type="dxa"/>
            <w:vMerge w:val="continue"/>
            <w:vAlign w:val="center"/>
          </w:tcPr>
          <w:p w14:paraId="6971200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3517" w:type="dxa"/>
            <w:vAlign w:val="center"/>
          </w:tcPr>
          <w:p w14:paraId="357DFC2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63.探索标准目录和网站主动公开内容的直接对应发布，跟踪评价标准目录实施情况</w:t>
            </w:r>
          </w:p>
        </w:tc>
        <w:tc>
          <w:tcPr>
            <w:tcW w:w="1695" w:type="dxa"/>
            <w:vMerge w:val="continue"/>
            <w:vAlign w:val="center"/>
          </w:tcPr>
          <w:p w14:paraId="3D0651F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eastAsia="zh-CN"/>
              </w:rPr>
            </w:pPr>
          </w:p>
        </w:tc>
        <w:tc>
          <w:tcPr>
            <w:tcW w:w="4888" w:type="dxa"/>
            <w:vAlign w:val="center"/>
          </w:tcPr>
          <w:p w14:paraId="3F4E360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（70）配合省加大技术研究，解决标准目录与主动公开内容的数据链接</w:t>
            </w:r>
          </w:p>
        </w:tc>
        <w:tc>
          <w:tcPr>
            <w:tcW w:w="1125" w:type="dxa"/>
            <w:vAlign w:val="center"/>
          </w:tcPr>
          <w:p w14:paraId="68D5716B">
            <w:pPr>
              <w:spacing w:after="120"/>
              <w:jc w:val="both"/>
              <w:rPr>
                <w:rFonts w:hint="default" w:ascii="仿宋" w:hAnsi="仿宋" w:eastAsia="仿宋" w:cs="仿宋"/>
                <w:szCs w:val="21"/>
                <w:lang w:val="en-US" w:eastAsia="zh-CN"/>
              </w:rPr>
            </w:pPr>
            <w:r>
              <w:rPr>
                <w:rFonts w:hint="eastAsia" w:ascii="仿宋" w:hAnsi="仿宋" w:eastAsia="仿宋" w:cs="仿宋"/>
                <w:szCs w:val="21"/>
                <w:lang w:val="en-US" w:eastAsia="zh-CN"/>
              </w:rPr>
              <w:t>12月底前</w:t>
            </w:r>
          </w:p>
        </w:tc>
        <w:tc>
          <w:tcPr>
            <w:tcW w:w="1737" w:type="dxa"/>
            <w:vAlign w:val="center"/>
          </w:tcPr>
          <w:p w14:paraId="60CF789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吉林省基层政务公开标准化目录查询系统</w:t>
            </w:r>
          </w:p>
        </w:tc>
      </w:tr>
      <w:tr w14:paraId="0013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70" w:type="dxa"/>
            <w:vMerge w:val="continue"/>
            <w:vAlign w:val="center"/>
          </w:tcPr>
          <w:p w14:paraId="17F3B3C2">
            <w:pPr>
              <w:spacing w:after="120"/>
              <w:jc w:val="both"/>
              <w:rPr>
                <w:rFonts w:hint="eastAsia" w:ascii="仿宋" w:hAnsi="仿宋" w:eastAsia="仿宋" w:cs="仿宋"/>
                <w:szCs w:val="21"/>
                <w:lang w:eastAsia="zh-CN"/>
              </w:rPr>
            </w:pPr>
          </w:p>
        </w:tc>
        <w:tc>
          <w:tcPr>
            <w:tcW w:w="1375" w:type="dxa"/>
            <w:vMerge w:val="restart"/>
            <w:vAlign w:val="center"/>
          </w:tcPr>
          <w:p w14:paraId="6C8E15F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（二十七）</w:t>
            </w:r>
            <w:r>
              <w:rPr>
                <w:rFonts w:hint="eastAsia" w:ascii="仿宋" w:hAnsi="仿宋" w:eastAsia="仿宋" w:cs="仿宋"/>
                <w:szCs w:val="21"/>
                <w:lang w:eastAsia="zh-CN"/>
              </w:rPr>
              <w:t>政务公开与村（居）务公开协调联动</w:t>
            </w:r>
          </w:p>
        </w:tc>
        <w:tc>
          <w:tcPr>
            <w:tcW w:w="3517" w:type="dxa"/>
            <w:vAlign w:val="center"/>
          </w:tcPr>
          <w:p w14:paraId="3519928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64.指导各地开展村（居）务公开工作</w:t>
            </w:r>
          </w:p>
        </w:tc>
        <w:tc>
          <w:tcPr>
            <w:tcW w:w="1695" w:type="dxa"/>
            <w:vMerge w:val="restart"/>
            <w:vAlign w:val="center"/>
          </w:tcPr>
          <w:p w14:paraId="72D0100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牵头部门：市民政局、市政数局</w:t>
            </w:r>
          </w:p>
          <w:p w14:paraId="7959730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落实部门：各县（市）区政府</w:t>
            </w:r>
          </w:p>
        </w:tc>
        <w:tc>
          <w:tcPr>
            <w:tcW w:w="4888" w:type="dxa"/>
            <w:vAlign w:val="center"/>
          </w:tcPr>
          <w:p w14:paraId="2A57E58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（71）按照省民政厅工作方案，制定四平市村（居）务公开规范化标准化实施方案</w:t>
            </w:r>
          </w:p>
        </w:tc>
        <w:tc>
          <w:tcPr>
            <w:tcW w:w="1125" w:type="dxa"/>
            <w:vAlign w:val="center"/>
          </w:tcPr>
          <w:p w14:paraId="1ACACECD">
            <w:pPr>
              <w:spacing w:after="120"/>
              <w:jc w:val="both"/>
              <w:rPr>
                <w:rFonts w:hint="eastAsia" w:ascii="仿宋" w:hAnsi="仿宋" w:eastAsia="仿宋" w:cs="仿宋"/>
                <w:szCs w:val="21"/>
                <w:lang w:val="en-US" w:eastAsia="zh-CN"/>
              </w:rPr>
            </w:pPr>
            <w:r>
              <w:rPr>
                <w:rFonts w:hint="eastAsia" w:ascii="仿宋" w:hAnsi="仿宋" w:eastAsia="仿宋" w:cs="仿宋"/>
                <w:szCs w:val="21"/>
                <w:lang w:val="en-US" w:eastAsia="zh-CN"/>
              </w:rPr>
              <w:t>7月底前</w:t>
            </w:r>
          </w:p>
        </w:tc>
        <w:tc>
          <w:tcPr>
            <w:tcW w:w="1737" w:type="dxa"/>
            <w:vAlign w:val="center"/>
          </w:tcPr>
          <w:p w14:paraId="4F4B1D9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工作实施方案</w:t>
            </w:r>
          </w:p>
        </w:tc>
      </w:tr>
      <w:tr w14:paraId="109E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170" w:type="dxa"/>
            <w:vMerge w:val="continue"/>
            <w:vAlign w:val="center"/>
          </w:tcPr>
          <w:p w14:paraId="2440CA39">
            <w:pPr>
              <w:spacing w:after="120"/>
              <w:ind w:left="420" w:leftChars="200"/>
              <w:jc w:val="center"/>
              <w:rPr>
                <w:rFonts w:hint="eastAsia" w:ascii="仿宋" w:hAnsi="仿宋" w:eastAsia="仿宋" w:cs="仿宋"/>
                <w:szCs w:val="21"/>
              </w:rPr>
            </w:pPr>
          </w:p>
        </w:tc>
        <w:tc>
          <w:tcPr>
            <w:tcW w:w="1375" w:type="dxa"/>
            <w:vMerge w:val="continue"/>
            <w:vAlign w:val="center"/>
          </w:tcPr>
          <w:p w14:paraId="29B8563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3517" w:type="dxa"/>
            <w:vAlign w:val="center"/>
          </w:tcPr>
          <w:p w14:paraId="2A3BE3C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65.村（居）民委员会公开属于自治范围内的事项，围绕脱贫攻坚、乡村振兴、村级财务、惠农政策、养老服务、社会救助等重点工作编制并公开事项目录，并在政府网站公开</w:t>
            </w:r>
          </w:p>
        </w:tc>
        <w:tc>
          <w:tcPr>
            <w:tcW w:w="1695" w:type="dxa"/>
            <w:vMerge w:val="continue"/>
            <w:vAlign w:val="center"/>
          </w:tcPr>
          <w:p w14:paraId="175975D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4888" w:type="dxa"/>
            <w:vMerge w:val="restart"/>
            <w:vAlign w:val="center"/>
          </w:tcPr>
          <w:p w14:paraId="460E61F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（72）按照《四平市村（居）务公开规范化化标准化实施方案》开展事项梳理及目录清单编制等工作</w:t>
            </w:r>
          </w:p>
          <w:p w14:paraId="31E0839C">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（73）针对不同事项，</w:t>
            </w:r>
            <w:r>
              <w:rPr>
                <w:rFonts w:hint="eastAsia" w:ascii="仿宋" w:hAnsi="仿宋" w:eastAsia="仿宋" w:cs="仿宋"/>
                <w:sz w:val="21"/>
                <w:szCs w:val="21"/>
              </w:rPr>
              <w:t>科学合理</w:t>
            </w:r>
            <w:r>
              <w:rPr>
                <w:rFonts w:hint="eastAsia" w:ascii="仿宋" w:hAnsi="仿宋" w:eastAsia="仿宋" w:cs="仿宋"/>
                <w:sz w:val="21"/>
                <w:szCs w:val="21"/>
                <w:lang w:eastAsia="zh-CN"/>
              </w:rPr>
              <w:t>选择村（居）民爱关注、易获取的</w:t>
            </w:r>
            <w:r>
              <w:rPr>
                <w:rFonts w:hint="eastAsia" w:ascii="仿宋" w:hAnsi="仿宋" w:eastAsia="仿宋" w:cs="仿宋"/>
                <w:sz w:val="21"/>
                <w:szCs w:val="21"/>
              </w:rPr>
              <w:t>公开方式</w:t>
            </w:r>
            <w:r>
              <w:rPr>
                <w:rFonts w:hint="eastAsia" w:ascii="仿宋" w:hAnsi="仿宋" w:eastAsia="仿宋" w:cs="仿宋"/>
                <w:sz w:val="21"/>
                <w:szCs w:val="21"/>
                <w:lang w:eastAsia="zh-CN"/>
              </w:rPr>
              <w:t>，灵活运用</w:t>
            </w:r>
            <w:r>
              <w:rPr>
                <w:rFonts w:hint="eastAsia" w:ascii="仿宋" w:hAnsi="仿宋" w:eastAsia="仿宋" w:cs="仿宋"/>
                <w:kern w:val="2"/>
                <w:sz w:val="21"/>
                <w:szCs w:val="21"/>
                <w:lang w:val="en-US" w:eastAsia="zh-CN" w:bidi="ar-SA"/>
              </w:rPr>
              <w:t>公示栏、村（居）民微信群、“帮帮团”志愿服务队、村村通小广播等渠道，落实村（居）务信息公开</w:t>
            </w:r>
          </w:p>
        </w:tc>
        <w:tc>
          <w:tcPr>
            <w:tcW w:w="1125" w:type="dxa"/>
            <w:vAlign w:val="center"/>
          </w:tcPr>
          <w:p w14:paraId="265CE7AA">
            <w:pPr>
              <w:spacing w:after="120"/>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8月底前</w:t>
            </w:r>
          </w:p>
        </w:tc>
        <w:tc>
          <w:tcPr>
            <w:tcW w:w="1737" w:type="dxa"/>
            <w:vAlign w:val="center"/>
          </w:tcPr>
          <w:p w14:paraId="56D8C73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村（居）务公开事项目录</w:t>
            </w:r>
          </w:p>
        </w:tc>
      </w:tr>
      <w:tr w14:paraId="08C2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70" w:type="dxa"/>
            <w:vMerge w:val="continue"/>
            <w:vAlign w:val="center"/>
          </w:tcPr>
          <w:p w14:paraId="70E319C0">
            <w:pPr>
              <w:spacing w:after="120"/>
              <w:ind w:left="420" w:leftChars="200"/>
              <w:jc w:val="center"/>
              <w:rPr>
                <w:rFonts w:hint="eastAsia" w:ascii="仿宋" w:hAnsi="仿宋" w:eastAsia="仿宋" w:cs="仿宋"/>
                <w:szCs w:val="21"/>
              </w:rPr>
            </w:pPr>
          </w:p>
        </w:tc>
        <w:tc>
          <w:tcPr>
            <w:tcW w:w="1375" w:type="dxa"/>
            <w:vMerge w:val="continue"/>
            <w:vAlign w:val="center"/>
          </w:tcPr>
          <w:p w14:paraId="5D9FED9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p>
        </w:tc>
        <w:tc>
          <w:tcPr>
            <w:tcW w:w="3517" w:type="dxa"/>
            <w:vAlign w:val="center"/>
          </w:tcPr>
          <w:p w14:paraId="00EC685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66.规范公开事项和渠道</w:t>
            </w:r>
            <w:r>
              <w:rPr>
                <w:rFonts w:hint="eastAsia" w:ascii="仿宋" w:hAnsi="仿宋" w:eastAsia="仿宋" w:cs="仿宋"/>
                <w:kern w:val="2"/>
                <w:sz w:val="21"/>
                <w:szCs w:val="21"/>
                <w:lang w:val="en-US" w:eastAsia="zh-CN" w:bidi="ar-SA"/>
              </w:rPr>
              <w:t>，相同事项公开内容要一致，公开渠道要适应基层群众信息获取和现实条件</w:t>
            </w:r>
          </w:p>
        </w:tc>
        <w:tc>
          <w:tcPr>
            <w:tcW w:w="1695" w:type="dxa"/>
            <w:vMerge w:val="continue"/>
            <w:vAlign w:val="center"/>
          </w:tcPr>
          <w:p w14:paraId="13A86C1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Merge w:val="continue"/>
            <w:vAlign w:val="center"/>
          </w:tcPr>
          <w:p w14:paraId="0B464F4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1125" w:type="dxa"/>
            <w:vMerge w:val="restart"/>
            <w:vAlign w:val="center"/>
          </w:tcPr>
          <w:p w14:paraId="0485FB8F">
            <w:pPr>
              <w:spacing w:after="120"/>
              <w:jc w:val="both"/>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11月底前</w:t>
            </w:r>
          </w:p>
        </w:tc>
        <w:tc>
          <w:tcPr>
            <w:tcW w:w="1737" w:type="dxa"/>
            <w:vAlign w:val="center"/>
          </w:tcPr>
          <w:p w14:paraId="4934D38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村（居）务公开事项标准目录上墙</w:t>
            </w:r>
          </w:p>
        </w:tc>
      </w:tr>
      <w:tr w14:paraId="02F8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170" w:type="dxa"/>
            <w:vMerge w:val="continue"/>
            <w:vAlign w:val="center"/>
          </w:tcPr>
          <w:p w14:paraId="00F7A836">
            <w:pPr>
              <w:spacing w:after="120"/>
              <w:ind w:left="420" w:leftChars="200"/>
              <w:jc w:val="center"/>
              <w:rPr>
                <w:rFonts w:hint="eastAsia" w:ascii="仿宋" w:hAnsi="仿宋" w:eastAsia="仿宋" w:cs="仿宋"/>
                <w:szCs w:val="21"/>
              </w:rPr>
            </w:pPr>
          </w:p>
        </w:tc>
        <w:tc>
          <w:tcPr>
            <w:tcW w:w="1375" w:type="dxa"/>
            <w:vMerge w:val="continue"/>
            <w:vAlign w:val="center"/>
          </w:tcPr>
          <w:p w14:paraId="14B444AD">
            <w:pPr>
              <w:spacing w:after="120"/>
              <w:jc w:val="both"/>
              <w:rPr>
                <w:rFonts w:hint="eastAsia" w:ascii="仿宋" w:hAnsi="仿宋" w:eastAsia="仿宋" w:cs="仿宋"/>
                <w:kern w:val="2"/>
                <w:sz w:val="21"/>
                <w:szCs w:val="21"/>
                <w:lang w:val="en-US" w:eastAsia="zh-CN" w:bidi="ar-SA"/>
              </w:rPr>
            </w:pPr>
          </w:p>
        </w:tc>
        <w:tc>
          <w:tcPr>
            <w:tcW w:w="3517" w:type="dxa"/>
            <w:vAlign w:val="center"/>
          </w:tcPr>
          <w:p w14:paraId="7551849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67.及时公开涉农补贴申报信息，同时汇总当年面向农村的各类惠民惠农财政补贴资金实际发放结果，年底前将其以村为单位通过公开栏公开</w:t>
            </w:r>
          </w:p>
        </w:tc>
        <w:tc>
          <w:tcPr>
            <w:tcW w:w="1695" w:type="dxa"/>
            <w:vMerge w:val="continue"/>
            <w:vAlign w:val="center"/>
          </w:tcPr>
          <w:p w14:paraId="573AA79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0CA6C5A8">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（74）县（市）区财政局、农业农村局要开展涉农补贴申报、发放专项监督核查，确保政策落实到位</w:t>
            </w:r>
          </w:p>
        </w:tc>
        <w:tc>
          <w:tcPr>
            <w:tcW w:w="1125" w:type="dxa"/>
            <w:vMerge w:val="continue"/>
            <w:vAlign w:val="center"/>
          </w:tcPr>
          <w:p w14:paraId="101BD71F">
            <w:pPr>
              <w:spacing w:after="120"/>
              <w:jc w:val="both"/>
              <w:rPr>
                <w:rFonts w:hint="eastAsia" w:ascii="仿宋" w:hAnsi="仿宋" w:eastAsia="仿宋" w:cs="仿宋"/>
                <w:kern w:val="2"/>
                <w:sz w:val="21"/>
                <w:szCs w:val="21"/>
                <w:lang w:val="en-US" w:eastAsia="zh-CN" w:bidi="ar-SA"/>
              </w:rPr>
            </w:pPr>
          </w:p>
        </w:tc>
        <w:tc>
          <w:tcPr>
            <w:tcW w:w="1737" w:type="dxa"/>
            <w:vMerge w:val="restart"/>
            <w:vAlign w:val="center"/>
          </w:tcPr>
          <w:p w14:paraId="19013C2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县（市）区政府网站</w:t>
            </w:r>
          </w:p>
          <w:p w14:paraId="033BA1E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涉农补贴专栏</w:t>
            </w:r>
          </w:p>
          <w:p w14:paraId="7E2D9ED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村务公开专栏</w:t>
            </w:r>
          </w:p>
        </w:tc>
      </w:tr>
      <w:tr w14:paraId="2E48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70" w:type="dxa"/>
            <w:vMerge w:val="continue"/>
            <w:vAlign w:val="center"/>
          </w:tcPr>
          <w:p w14:paraId="4F5E2865">
            <w:pPr>
              <w:spacing w:after="120"/>
              <w:ind w:left="420" w:leftChars="200"/>
              <w:jc w:val="center"/>
              <w:rPr>
                <w:rFonts w:hint="eastAsia" w:ascii="仿宋" w:hAnsi="仿宋" w:eastAsia="仿宋" w:cs="仿宋"/>
                <w:szCs w:val="21"/>
              </w:rPr>
            </w:pPr>
          </w:p>
        </w:tc>
        <w:tc>
          <w:tcPr>
            <w:tcW w:w="1375" w:type="dxa"/>
            <w:vMerge w:val="continue"/>
            <w:vAlign w:val="center"/>
          </w:tcPr>
          <w:p w14:paraId="77E810D6">
            <w:pPr>
              <w:spacing w:after="120"/>
              <w:jc w:val="both"/>
              <w:rPr>
                <w:rFonts w:hint="eastAsia" w:ascii="仿宋" w:hAnsi="仿宋" w:eastAsia="仿宋" w:cs="仿宋"/>
                <w:kern w:val="2"/>
                <w:sz w:val="21"/>
                <w:szCs w:val="21"/>
                <w:lang w:val="en-US" w:eastAsia="zh-CN" w:bidi="ar-SA"/>
              </w:rPr>
            </w:pPr>
          </w:p>
        </w:tc>
        <w:tc>
          <w:tcPr>
            <w:tcW w:w="3517" w:type="dxa"/>
            <w:vAlign w:val="center"/>
          </w:tcPr>
          <w:p w14:paraId="7B2CCCE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68.强化实地督查，确保目录内各事项信息上墙上栏，及时准确公开</w:t>
            </w:r>
          </w:p>
        </w:tc>
        <w:tc>
          <w:tcPr>
            <w:tcW w:w="1695" w:type="dxa"/>
            <w:vMerge w:val="continue"/>
            <w:vAlign w:val="center"/>
          </w:tcPr>
          <w:p w14:paraId="3B2FF4F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44ED4E9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（75）结合年度考核工作，开展专项工作检查验收</w:t>
            </w:r>
          </w:p>
        </w:tc>
        <w:tc>
          <w:tcPr>
            <w:tcW w:w="1125" w:type="dxa"/>
            <w:vAlign w:val="center"/>
          </w:tcPr>
          <w:p w14:paraId="7409D8FE">
            <w:pPr>
              <w:spacing w:after="120"/>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12月底前</w:t>
            </w:r>
          </w:p>
        </w:tc>
        <w:tc>
          <w:tcPr>
            <w:tcW w:w="1737" w:type="dxa"/>
            <w:vMerge w:val="continue"/>
            <w:vAlign w:val="center"/>
          </w:tcPr>
          <w:p w14:paraId="03CCD11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r>
      <w:tr w14:paraId="4A78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0" w:type="dxa"/>
            <w:vAlign w:val="bottom"/>
          </w:tcPr>
          <w:p w14:paraId="42EE0CCA">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目    标</w:t>
            </w:r>
          </w:p>
        </w:tc>
        <w:tc>
          <w:tcPr>
            <w:tcW w:w="1375" w:type="dxa"/>
            <w:vAlign w:val="bottom"/>
          </w:tcPr>
          <w:p w14:paraId="237FA81C">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主要任务</w:t>
            </w:r>
          </w:p>
        </w:tc>
        <w:tc>
          <w:tcPr>
            <w:tcW w:w="3517" w:type="dxa"/>
            <w:vAlign w:val="bottom"/>
          </w:tcPr>
          <w:p w14:paraId="4D70D554">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仿宋" w:hAnsi="仿宋" w:eastAsia="仿宋" w:cs="仿宋"/>
                <w:kern w:val="2"/>
                <w:sz w:val="21"/>
                <w:szCs w:val="21"/>
                <w:lang w:val="en-US" w:eastAsia="zh-CN" w:bidi="ar-SA"/>
              </w:rPr>
            </w:pPr>
            <w:r>
              <w:rPr>
                <w:rFonts w:hint="eastAsia" w:ascii="黑体" w:hAnsi="黑体" w:eastAsia="黑体"/>
                <w:szCs w:val="21"/>
              </w:rPr>
              <w:t>细化指标</w:t>
            </w:r>
          </w:p>
        </w:tc>
        <w:tc>
          <w:tcPr>
            <w:tcW w:w="1695" w:type="dxa"/>
            <w:vAlign w:val="bottom"/>
          </w:tcPr>
          <w:p w14:paraId="2A473CC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责任单位</w:t>
            </w:r>
          </w:p>
        </w:tc>
        <w:tc>
          <w:tcPr>
            <w:tcW w:w="4888" w:type="dxa"/>
            <w:vAlign w:val="bottom"/>
          </w:tcPr>
          <w:p w14:paraId="1495ADF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工作措施</w:t>
            </w:r>
          </w:p>
        </w:tc>
        <w:tc>
          <w:tcPr>
            <w:tcW w:w="1125" w:type="dxa"/>
            <w:vAlign w:val="bottom"/>
          </w:tcPr>
          <w:p w14:paraId="425813A6">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完成时限</w:t>
            </w:r>
          </w:p>
        </w:tc>
        <w:tc>
          <w:tcPr>
            <w:tcW w:w="1737" w:type="dxa"/>
            <w:vAlign w:val="bottom"/>
          </w:tcPr>
          <w:p w14:paraId="0A74A57A">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0B83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170" w:type="dxa"/>
            <w:vMerge w:val="restart"/>
            <w:vAlign w:val="center"/>
          </w:tcPr>
          <w:p w14:paraId="767B4FB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lang w:eastAsia="zh-CN"/>
              </w:rPr>
              <w:t>五、持续深入推进基层政务公开</w:t>
            </w:r>
            <w:r>
              <w:rPr>
                <w:rFonts w:hint="eastAsia" w:ascii="仿宋" w:hAnsi="仿宋" w:eastAsia="仿宋" w:cs="仿宋"/>
                <w:kern w:val="2"/>
                <w:sz w:val="21"/>
                <w:szCs w:val="21"/>
                <w:lang w:val="en-US" w:eastAsia="zh-CN" w:bidi="ar-SA"/>
              </w:rPr>
              <w:t>标准化规范化建设</w:t>
            </w:r>
          </w:p>
        </w:tc>
        <w:tc>
          <w:tcPr>
            <w:tcW w:w="1375" w:type="dxa"/>
            <w:vMerge w:val="restart"/>
            <w:vAlign w:val="center"/>
          </w:tcPr>
          <w:p w14:paraId="08A15ED7">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（二十八）加强基层政务公开专区建设</w:t>
            </w:r>
          </w:p>
        </w:tc>
        <w:tc>
          <w:tcPr>
            <w:tcW w:w="3517" w:type="dxa"/>
            <w:vAlign w:val="center"/>
          </w:tcPr>
          <w:p w14:paraId="758C659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69.加强政务公开专区建设布局、设施设备、服务规范、人员管理、运行维护等各方面的标准化管理水平，并逐步推进县（市、区）、街镇、村（居）三级政务公开专区全覆盖</w:t>
            </w:r>
          </w:p>
        </w:tc>
        <w:tc>
          <w:tcPr>
            <w:tcW w:w="1695" w:type="dxa"/>
            <w:vMerge w:val="restart"/>
            <w:vAlign w:val="center"/>
          </w:tcPr>
          <w:p w14:paraId="580B348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牵头部门：市政数局</w:t>
            </w:r>
          </w:p>
          <w:p w14:paraId="56A6816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落实部门：各县（市）区政府</w:t>
            </w:r>
          </w:p>
        </w:tc>
        <w:tc>
          <w:tcPr>
            <w:tcW w:w="4888" w:type="dxa"/>
            <w:vMerge w:val="restart"/>
            <w:vAlign w:val="center"/>
          </w:tcPr>
          <w:p w14:paraId="16D0DB6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（76）按照省统一标准，提升各级政务公开专区建设水平</w:t>
            </w:r>
          </w:p>
          <w:p w14:paraId="50E0E18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（77）按照省统一部署，不断完善省统建的政务服务平台功能</w:t>
            </w:r>
          </w:p>
        </w:tc>
        <w:tc>
          <w:tcPr>
            <w:tcW w:w="1125" w:type="dxa"/>
            <w:vMerge w:val="restart"/>
            <w:vAlign w:val="center"/>
          </w:tcPr>
          <w:p w14:paraId="5E5B527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12月底前</w:t>
            </w:r>
          </w:p>
        </w:tc>
        <w:tc>
          <w:tcPr>
            <w:tcW w:w="1737" w:type="dxa"/>
            <w:vAlign w:val="center"/>
          </w:tcPr>
          <w:p w14:paraId="328DB61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各层级政务公开专区</w:t>
            </w:r>
          </w:p>
        </w:tc>
      </w:tr>
      <w:tr w14:paraId="4B36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70" w:type="dxa"/>
            <w:vMerge w:val="continue"/>
            <w:vAlign w:val="center"/>
          </w:tcPr>
          <w:p w14:paraId="52A8E5FC">
            <w:pPr>
              <w:keepNext w:val="0"/>
              <w:keepLines w:val="0"/>
              <w:pageBreakBefore w:val="0"/>
              <w:widowControl w:val="0"/>
              <w:kinsoku/>
              <w:wordWrap/>
              <w:overflowPunct/>
              <w:topLinePunct w:val="0"/>
              <w:autoSpaceDE/>
              <w:autoSpaceDN/>
              <w:bidi w:val="0"/>
              <w:adjustRightInd/>
              <w:snapToGrid/>
              <w:spacing w:after="120" w:line="240" w:lineRule="exact"/>
              <w:ind w:left="420" w:leftChars="200"/>
              <w:jc w:val="center"/>
              <w:textAlignment w:val="auto"/>
              <w:rPr>
                <w:rFonts w:hint="eastAsia" w:ascii="仿宋" w:hAnsi="仿宋" w:eastAsia="仿宋" w:cs="仿宋"/>
                <w:sz w:val="21"/>
                <w:szCs w:val="21"/>
              </w:rPr>
            </w:pPr>
          </w:p>
        </w:tc>
        <w:tc>
          <w:tcPr>
            <w:tcW w:w="1375" w:type="dxa"/>
            <w:vMerge w:val="continue"/>
            <w:vAlign w:val="center"/>
          </w:tcPr>
          <w:p w14:paraId="55FD737D">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 w:val="21"/>
                <w:szCs w:val="21"/>
                <w:lang w:eastAsia="zh-CN"/>
              </w:rPr>
            </w:pPr>
          </w:p>
        </w:tc>
        <w:tc>
          <w:tcPr>
            <w:tcW w:w="3517" w:type="dxa"/>
            <w:vAlign w:val="center"/>
          </w:tcPr>
          <w:p w14:paraId="73E69E2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70.统筹建设本地区各级互联、协同联动的政务服务平台，实现从省到村（社区）网上政务全覆盖</w:t>
            </w:r>
          </w:p>
        </w:tc>
        <w:tc>
          <w:tcPr>
            <w:tcW w:w="1695" w:type="dxa"/>
            <w:vMerge w:val="continue"/>
            <w:vAlign w:val="center"/>
          </w:tcPr>
          <w:p w14:paraId="0A8A9EE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Merge w:val="continue"/>
            <w:vAlign w:val="center"/>
          </w:tcPr>
          <w:p w14:paraId="1D22405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p>
        </w:tc>
        <w:tc>
          <w:tcPr>
            <w:tcW w:w="1125" w:type="dxa"/>
            <w:vMerge w:val="continue"/>
            <w:vAlign w:val="center"/>
          </w:tcPr>
          <w:p w14:paraId="0467A63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val="en-US" w:eastAsia="zh-CN"/>
              </w:rPr>
            </w:pPr>
          </w:p>
        </w:tc>
        <w:tc>
          <w:tcPr>
            <w:tcW w:w="1737" w:type="dxa"/>
            <w:vAlign w:val="center"/>
          </w:tcPr>
          <w:p w14:paraId="4F99E5C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政务服务平台</w:t>
            </w:r>
          </w:p>
        </w:tc>
      </w:tr>
      <w:tr w14:paraId="6FEB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70" w:type="dxa"/>
            <w:vMerge w:val="restart"/>
            <w:vAlign w:val="center"/>
          </w:tcPr>
          <w:p w14:paraId="4B29B422">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六、持续提升政务公开透明度</w:t>
            </w:r>
          </w:p>
        </w:tc>
        <w:tc>
          <w:tcPr>
            <w:tcW w:w="1375" w:type="dxa"/>
            <w:vAlign w:val="center"/>
          </w:tcPr>
          <w:p w14:paraId="76492DDB">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（二十九）回应社会关切</w:t>
            </w:r>
          </w:p>
        </w:tc>
        <w:tc>
          <w:tcPr>
            <w:tcW w:w="3517" w:type="dxa"/>
            <w:vAlign w:val="center"/>
          </w:tcPr>
          <w:p w14:paraId="70940D4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71.“12345”热线要与领导信箱、政民互动建立共建、共用、共享机制，建立常见问题解答库</w:t>
            </w:r>
          </w:p>
        </w:tc>
        <w:tc>
          <w:tcPr>
            <w:tcW w:w="1695" w:type="dxa"/>
            <w:vMerge w:val="restart"/>
            <w:vAlign w:val="center"/>
          </w:tcPr>
          <w:p w14:paraId="5A5A7E9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牵头部门：市政数局</w:t>
            </w:r>
          </w:p>
          <w:p w14:paraId="6989229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配合部门：市政府各相关部门</w:t>
            </w:r>
          </w:p>
          <w:p w14:paraId="79E5C98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r>
              <w:rPr>
                <w:rFonts w:hint="eastAsia" w:ascii="仿宋" w:hAnsi="仿宋" w:eastAsia="仿宋" w:cs="仿宋"/>
                <w:lang w:val="en-US" w:eastAsia="zh-CN"/>
              </w:rPr>
              <w:t>县（市）区政府</w:t>
            </w:r>
          </w:p>
        </w:tc>
        <w:tc>
          <w:tcPr>
            <w:tcW w:w="4888" w:type="dxa"/>
            <w:vAlign w:val="center"/>
          </w:tcPr>
          <w:p w14:paraId="54CF971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（78）持续拓展“12345”热线业务范围，推进编制人员落实到位、信息共享培训到位、业务整合配合到位</w:t>
            </w:r>
          </w:p>
        </w:tc>
        <w:tc>
          <w:tcPr>
            <w:tcW w:w="1125" w:type="dxa"/>
            <w:vMerge w:val="restart"/>
            <w:vAlign w:val="center"/>
          </w:tcPr>
          <w:p w14:paraId="2BF347C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12月底前</w:t>
            </w:r>
          </w:p>
        </w:tc>
        <w:tc>
          <w:tcPr>
            <w:tcW w:w="1737" w:type="dxa"/>
            <w:vAlign w:val="center"/>
          </w:tcPr>
          <w:p w14:paraId="163D56E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“12345”热线体验及工作简报</w:t>
            </w:r>
          </w:p>
        </w:tc>
      </w:tr>
      <w:tr w14:paraId="15EB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70" w:type="dxa"/>
            <w:vMerge w:val="continue"/>
            <w:vAlign w:val="center"/>
          </w:tcPr>
          <w:p w14:paraId="74723F29">
            <w:pPr>
              <w:spacing w:after="120"/>
              <w:ind w:left="420" w:leftChars="200"/>
              <w:jc w:val="center"/>
              <w:rPr>
                <w:rFonts w:hint="eastAsia" w:ascii="仿宋" w:hAnsi="仿宋" w:eastAsia="仿宋" w:cs="仿宋"/>
                <w:szCs w:val="21"/>
              </w:rPr>
            </w:pPr>
          </w:p>
        </w:tc>
        <w:tc>
          <w:tcPr>
            <w:tcW w:w="1375" w:type="dxa"/>
            <w:vAlign w:val="center"/>
          </w:tcPr>
          <w:p w14:paraId="1B469CD2">
            <w:pPr>
              <w:keepNext w:val="0"/>
              <w:keepLines w:val="0"/>
              <w:pageBreakBefore w:val="0"/>
              <w:widowControl w:val="0"/>
              <w:kinsoku/>
              <w:wordWrap/>
              <w:overflowPunct/>
              <w:topLinePunct w:val="0"/>
              <w:autoSpaceDE/>
              <w:autoSpaceDN/>
              <w:bidi w:val="0"/>
              <w:adjustRightInd/>
              <w:snapToGrid/>
              <w:spacing w:after="120" w:line="24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（三十）政府开放日活动</w:t>
            </w:r>
          </w:p>
        </w:tc>
        <w:tc>
          <w:tcPr>
            <w:tcW w:w="3517" w:type="dxa"/>
            <w:vAlign w:val="center"/>
          </w:tcPr>
          <w:p w14:paraId="1204894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72.年内至少举办1次“政府开放日”活动</w:t>
            </w:r>
          </w:p>
        </w:tc>
        <w:tc>
          <w:tcPr>
            <w:tcW w:w="1695" w:type="dxa"/>
            <w:vMerge w:val="continue"/>
            <w:vAlign w:val="center"/>
          </w:tcPr>
          <w:p w14:paraId="31E7C5F9">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548A490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（79）各地各部门，结合本单位职能和年度工作任务，制定“政府开放日”计划或实施方案，增强机关工作透明度</w:t>
            </w:r>
          </w:p>
        </w:tc>
        <w:tc>
          <w:tcPr>
            <w:tcW w:w="1125" w:type="dxa"/>
            <w:vMerge w:val="continue"/>
            <w:vAlign w:val="center"/>
          </w:tcPr>
          <w:p w14:paraId="07239BF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p>
        </w:tc>
        <w:tc>
          <w:tcPr>
            <w:tcW w:w="1737" w:type="dxa"/>
            <w:vAlign w:val="center"/>
          </w:tcPr>
          <w:p w14:paraId="4815515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eastAsia="zh-CN"/>
              </w:rPr>
            </w:pPr>
            <w:r>
              <w:rPr>
                <w:rFonts w:hint="eastAsia" w:ascii="仿宋" w:hAnsi="仿宋" w:eastAsia="仿宋" w:cs="仿宋"/>
                <w:szCs w:val="21"/>
                <w:lang w:eastAsia="zh-CN"/>
              </w:rPr>
              <w:t>政府开放日活动</w:t>
            </w:r>
          </w:p>
        </w:tc>
      </w:tr>
      <w:tr w14:paraId="09DE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70" w:type="dxa"/>
            <w:vMerge w:val="restart"/>
            <w:vAlign w:val="center"/>
          </w:tcPr>
          <w:p w14:paraId="5230D0FA">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七、强化政务公开机制保障和队伍建设</w:t>
            </w:r>
          </w:p>
        </w:tc>
        <w:tc>
          <w:tcPr>
            <w:tcW w:w="1375" w:type="dxa"/>
            <w:vMerge w:val="restart"/>
            <w:vAlign w:val="center"/>
          </w:tcPr>
          <w:p w14:paraId="1ABAA4C1">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（三十一）健全组织领导和协调保障机制</w:t>
            </w:r>
          </w:p>
        </w:tc>
        <w:tc>
          <w:tcPr>
            <w:tcW w:w="3517" w:type="dxa"/>
            <w:vAlign w:val="center"/>
          </w:tcPr>
          <w:p w14:paraId="5D00776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73.健全政务公开组织领导机构</w:t>
            </w:r>
          </w:p>
        </w:tc>
        <w:tc>
          <w:tcPr>
            <w:tcW w:w="1695" w:type="dxa"/>
            <w:vMerge w:val="restart"/>
            <w:vAlign w:val="center"/>
          </w:tcPr>
          <w:p w14:paraId="146665B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牵头部门：市政数局、市政府办</w:t>
            </w:r>
          </w:p>
          <w:p w14:paraId="56247CA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配合部门：市政府各相关部门</w:t>
            </w:r>
          </w:p>
          <w:p w14:paraId="113A940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r>
              <w:rPr>
                <w:rFonts w:hint="eastAsia" w:ascii="仿宋" w:hAnsi="仿宋" w:eastAsia="仿宋" w:cs="仿宋"/>
                <w:lang w:val="en-US" w:eastAsia="zh-CN"/>
              </w:rPr>
              <w:t>县（市）区政府</w:t>
            </w:r>
          </w:p>
        </w:tc>
        <w:tc>
          <w:tcPr>
            <w:tcW w:w="4888" w:type="dxa"/>
            <w:vAlign w:val="center"/>
          </w:tcPr>
          <w:p w14:paraId="7F1444EC">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（80）针对人员职务变动情况，各级各部门及时调整（增补）领导小组成员</w:t>
            </w:r>
          </w:p>
        </w:tc>
        <w:tc>
          <w:tcPr>
            <w:tcW w:w="1125" w:type="dxa"/>
            <w:vAlign w:val="center"/>
          </w:tcPr>
          <w:p w14:paraId="7126819D">
            <w:pPr>
              <w:spacing w:after="120"/>
              <w:jc w:val="both"/>
              <w:rPr>
                <w:rFonts w:hint="default" w:ascii="仿宋" w:hAnsi="仿宋" w:eastAsia="仿宋" w:cs="仿宋"/>
                <w:szCs w:val="21"/>
                <w:lang w:val="en-US" w:eastAsia="zh-CN"/>
              </w:rPr>
            </w:pPr>
            <w:r>
              <w:rPr>
                <w:rFonts w:hint="eastAsia" w:ascii="仿宋" w:hAnsi="仿宋" w:eastAsia="仿宋" w:cs="仿宋"/>
                <w:szCs w:val="21"/>
                <w:lang w:val="en-US" w:eastAsia="zh-CN"/>
              </w:rPr>
              <w:t>3月底前</w:t>
            </w:r>
          </w:p>
        </w:tc>
        <w:tc>
          <w:tcPr>
            <w:tcW w:w="1737" w:type="dxa"/>
            <w:vAlign w:val="center"/>
          </w:tcPr>
          <w:p w14:paraId="06225987">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政务公开领导小组成员及职责分工</w:t>
            </w:r>
          </w:p>
        </w:tc>
      </w:tr>
      <w:tr w14:paraId="6DB7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70" w:type="dxa"/>
            <w:vMerge w:val="continue"/>
            <w:vAlign w:val="center"/>
          </w:tcPr>
          <w:p w14:paraId="71F02A61">
            <w:pPr>
              <w:spacing w:after="120"/>
              <w:jc w:val="both"/>
              <w:rPr>
                <w:rFonts w:hint="eastAsia" w:ascii="仿宋" w:hAnsi="仿宋" w:eastAsia="仿宋" w:cs="仿宋"/>
                <w:szCs w:val="21"/>
              </w:rPr>
            </w:pPr>
          </w:p>
        </w:tc>
        <w:tc>
          <w:tcPr>
            <w:tcW w:w="1375" w:type="dxa"/>
            <w:vMerge w:val="continue"/>
            <w:vAlign w:val="center"/>
          </w:tcPr>
          <w:p w14:paraId="013EB1A4">
            <w:pPr>
              <w:spacing w:after="120"/>
              <w:jc w:val="both"/>
              <w:rPr>
                <w:rFonts w:hint="eastAsia" w:ascii="仿宋" w:hAnsi="仿宋" w:eastAsia="仿宋" w:cs="仿宋"/>
                <w:szCs w:val="21"/>
                <w:lang w:eastAsia="zh-CN"/>
              </w:rPr>
            </w:pPr>
          </w:p>
        </w:tc>
        <w:tc>
          <w:tcPr>
            <w:tcW w:w="3517" w:type="dxa"/>
            <w:vAlign w:val="center"/>
          </w:tcPr>
          <w:p w14:paraId="7D4D764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74.理顺工作机制，依法依规履行部门职责</w:t>
            </w:r>
          </w:p>
        </w:tc>
        <w:tc>
          <w:tcPr>
            <w:tcW w:w="1695" w:type="dxa"/>
            <w:vMerge w:val="continue"/>
            <w:vAlign w:val="center"/>
          </w:tcPr>
          <w:p w14:paraId="16A2B1D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14C47A7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（81）严格按照《中华人民共和国政府信息公开条例》和中办、国办文件要求，依法依规设置工作机构、配齐工作人员，确保管理不缺失</w:t>
            </w:r>
          </w:p>
        </w:tc>
        <w:tc>
          <w:tcPr>
            <w:tcW w:w="1125" w:type="dxa"/>
            <w:vAlign w:val="center"/>
          </w:tcPr>
          <w:p w14:paraId="7FDCE24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7月底前</w:t>
            </w:r>
          </w:p>
        </w:tc>
        <w:tc>
          <w:tcPr>
            <w:tcW w:w="1737" w:type="dxa"/>
            <w:vAlign w:val="center"/>
          </w:tcPr>
          <w:p w14:paraId="54DC410D">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两级政府两条线密切配合；部门一根针统筹落实</w:t>
            </w:r>
          </w:p>
        </w:tc>
      </w:tr>
      <w:tr w14:paraId="24C9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170" w:type="dxa"/>
            <w:vMerge w:val="continue"/>
            <w:vAlign w:val="center"/>
          </w:tcPr>
          <w:p w14:paraId="7631D6BE">
            <w:pPr>
              <w:spacing w:after="120"/>
              <w:jc w:val="both"/>
              <w:rPr>
                <w:rFonts w:hint="eastAsia" w:ascii="仿宋" w:hAnsi="仿宋" w:eastAsia="仿宋" w:cs="仿宋"/>
                <w:szCs w:val="21"/>
              </w:rPr>
            </w:pPr>
          </w:p>
        </w:tc>
        <w:tc>
          <w:tcPr>
            <w:tcW w:w="1375" w:type="dxa"/>
            <w:vMerge w:val="continue"/>
            <w:vAlign w:val="center"/>
          </w:tcPr>
          <w:p w14:paraId="189C6141">
            <w:pPr>
              <w:spacing w:after="120"/>
              <w:jc w:val="both"/>
              <w:rPr>
                <w:rFonts w:hint="eastAsia" w:ascii="仿宋" w:hAnsi="仿宋" w:eastAsia="仿宋" w:cs="仿宋"/>
                <w:szCs w:val="21"/>
                <w:lang w:eastAsia="zh-CN"/>
              </w:rPr>
            </w:pPr>
          </w:p>
        </w:tc>
        <w:tc>
          <w:tcPr>
            <w:tcW w:w="3517" w:type="dxa"/>
            <w:vAlign w:val="center"/>
          </w:tcPr>
          <w:p w14:paraId="594FD05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75.主要领导年内至少专门听取1次工作汇报</w:t>
            </w:r>
          </w:p>
        </w:tc>
        <w:tc>
          <w:tcPr>
            <w:tcW w:w="1695" w:type="dxa"/>
            <w:vMerge w:val="continue"/>
            <w:vAlign w:val="center"/>
          </w:tcPr>
          <w:p w14:paraId="7EF1E7A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301FC98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（82）各级领导小组按照工作制度和议事规则充分发挥组织领导作用</w:t>
            </w:r>
          </w:p>
        </w:tc>
        <w:tc>
          <w:tcPr>
            <w:tcW w:w="1125" w:type="dxa"/>
            <w:vAlign w:val="center"/>
          </w:tcPr>
          <w:p w14:paraId="16B277E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12月底前</w:t>
            </w:r>
          </w:p>
        </w:tc>
        <w:tc>
          <w:tcPr>
            <w:tcW w:w="1737" w:type="dxa"/>
            <w:vAlign w:val="center"/>
          </w:tcPr>
          <w:p w14:paraId="5AC3F59F">
            <w:pPr>
              <w:spacing w:after="120"/>
              <w:jc w:val="both"/>
              <w:rPr>
                <w:rFonts w:hint="eastAsia" w:ascii="仿宋" w:hAnsi="仿宋" w:eastAsia="仿宋" w:cs="仿宋"/>
                <w:szCs w:val="21"/>
                <w:lang w:eastAsia="zh-CN"/>
              </w:rPr>
            </w:pPr>
            <w:bookmarkStart w:id="0" w:name="_GoBack"/>
            <w:bookmarkEnd w:id="0"/>
            <w:r>
              <w:rPr>
                <w:rFonts w:hint="eastAsia" w:ascii="仿宋" w:hAnsi="仿宋" w:eastAsia="仿宋" w:cs="仿宋"/>
                <w:szCs w:val="21"/>
                <w:lang w:eastAsia="zh-CN"/>
              </w:rPr>
              <w:t>会议纪要或汇报材料</w:t>
            </w:r>
          </w:p>
        </w:tc>
      </w:tr>
      <w:tr w14:paraId="7EB6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170" w:type="dxa"/>
            <w:vMerge w:val="continue"/>
            <w:vAlign w:val="center"/>
          </w:tcPr>
          <w:p w14:paraId="27FD7A97">
            <w:pPr>
              <w:spacing w:after="120"/>
              <w:jc w:val="both"/>
              <w:rPr>
                <w:rFonts w:hint="eastAsia" w:ascii="仿宋" w:hAnsi="仿宋" w:eastAsia="仿宋" w:cs="仿宋"/>
                <w:szCs w:val="21"/>
              </w:rPr>
            </w:pPr>
          </w:p>
        </w:tc>
        <w:tc>
          <w:tcPr>
            <w:tcW w:w="1375" w:type="dxa"/>
            <w:vMerge w:val="continue"/>
            <w:vAlign w:val="center"/>
          </w:tcPr>
          <w:p w14:paraId="09F8D351">
            <w:pPr>
              <w:spacing w:after="120"/>
              <w:jc w:val="both"/>
              <w:rPr>
                <w:rFonts w:hint="eastAsia" w:ascii="仿宋" w:hAnsi="仿宋" w:eastAsia="仿宋" w:cs="仿宋"/>
                <w:szCs w:val="21"/>
                <w:lang w:eastAsia="zh-CN"/>
              </w:rPr>
            </w:pPr>
          </w:p>
        </w:tc>
        <w:tc>
          <w:tcPr>
            <w:tcW w:w="3517" w:type="dxa"/>
            <w:vAlign w:val="center"/>
          </w:tcPr>
          <w:p w14:paraId="116872A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76.年度预算中安排政务公开工作经费，保障政务公开重点任务落实到位</w:t>
            </w:r>
          </w:p>
        </w:tc>
        <w:tc>
          <w:tcPr>
            <w:tcW w:w="1695" w:type="dxa"/>
            <w:vMerge w:val="continue"/>
            <w:vAlign w:val="center"/>
          </w:tcPr>
          <w:p w14:paraId="50188A0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68A0E4C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（83）各地各部门要给予政务公开（政府信息公开）工作业务培训、设施设备更新、平台改造经费保障</w:t>
            </w:r>
          </w:p>
        </w:tc>
        <w:tc>
          <w:tcPr>
            <w:tcW w:w="1125" w:type="dxa"/>
            <w:vAlign w:val="center"/>
          </w:tcPr>
          <w:p w14:paraId="2C5D3AFA">
            <w:pPr>
              <w:spacing w:after="120"/>
              <w:jc w:val="both"/>
              <w:rPr>
                <w:rFonts w:hint="eastAsia" w:ascii="仿宋" w:hAnsi="仿宋" w:eastAsia="仿宋" w:cs="仿宋"/>
                <w:szCs w:val="21"/>
                <w:lang w:val="en-US" w:eastAsia="zh-CN"/>
              </w:rPr>
            </w:pPr>
            <w:r>
              <w:rPr>
                <w:rFonts w:hint="eastAsia" w:ascii="仿宋" w:hAnsi="仿宋" w:eastAsia="仿宋" w:cs="仿宋"/>
                <w:szCs w:val="21"/>
                <w:lang w:val="en-US" w:eastAsia="zh-CN"/>
              </w:rPr>
              <w:t>12月底前</w:t>
            </w:r>
          </w:p>
        </w:tc>
        <w:tc>
          <w:tcPr>
            <w:tcW w:w="1737" w:type="dxa"/>
            <w:vAlign w:val="center"/>
          </w:tcPr>
          <w:p w14:paraId="43FD2227">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预决算清单</w:t>
            </w:r>
          </w:p>
        </w:tc>
      </w:tr>
      <w:tr w14:paraId="326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70" w:type="dxa"/>
            <w:vAlign w:val="bottom"/>
          </w:tcPr>
          <w:p w14:paraId="62D08C18">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目    标</w:t>
            </w:r>
          </w:p>
        </w:tc>
        <w:tc>
          <w:tcPr>
            <w:tcW w:w="1375" w:type="dxa"/>
            <w:vAlign w:val="bottom"/>
          </w:tcPr>
          <w:p w14:paraId="0B5888C0">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主要任务</w:t>
            </w:r>
          </w:p>
        </w:tc>
        <w:tc>
          <w:tcPr>
            <w:tcW w:w="3517" w:type="dxa"/>
            <w:vAlign w:val="bottom"/>
          </w:tcPr>
          <w:p w14:paraId="6352A6FC">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仿宋" w:hAnsi="仿宋" w:eastAsia="仿宋" w:cs="仿宋"/>
                <w:kern w:val="2"/>
                <w:sz w:val="21"/>
                <w:szCs w:val="21"/>
                <w:lang w:val="en-US" w:eastAsia="zh-CN" w:bidi="ar-SA"/>
              </w:rPr>
            </w:pPr>
            <w:r>
              <w:rPr>
                <w:rFonts w:hint="eastAsia" w:ascii="黑体" w:hAnsi="黑体" w:eastAsia="黑体"/>
                <w:szCs w:val="21"/>
              </w:rPr>
              <w:t>细化指标</w:t>
            </w:r>
          </w:p>
        </w:tc>
        <w:tc>
          <w:tcPr>
            <w:tcW w:w="1695" w:type="dxa"/>
            <w:vAlign w:val="bottom"/>
          </w:tcPr>
          <w:p w14:paraId="02805BC5">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责任单位</w:t>
            </w:r>
          </w:p>
        </w:tc>
        <w:tc>
          <w:tcPr>
            <w:tcW w:w="4888" w:type="dxa"/>
            <w:vAlign w:val="bottom"/>
          </w:tcPr>
          <w:p w14:paraId="08D8891E">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工作措施</w:t>
            </w:r>
          </w:p>
        </w:tc>
        <w:tc>
          <w:tcPr>
            <w:tcW w:w="1125" w:type="dxa"/>
            <w:vAlign w:val="bottom"/>
          </w:tcPr>
          <w:p w14:paraId="75B22B22">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完成时限</w:t>
            </w:r>
          </w:p>
        </w:tc>
        <w:tc>
          <w:tcPr>
            <w:tcW w:w="1737" w:type="dxa"/>
            <w:vAlign w:val="bottom"/>
          </w:tcPr>
          <w:p w14:paraId="3F59C2D3">
            <w:pPr>
              <w:keepNext w:val="0"/>
              <w:keepLines w:val="0"/>
              <w:pageBreakBefore w:val="0"/>
              <w:widowControl w:val="0"/>
              <w:kinsoku/>
              <w:wordWrap/>
              <w:overflowPunct/>
              <w:topLinePunct w:val="0"/>
              <w:autoSpaceDE/>
              <w:autoSpaceDN/>
              <w:bidi w:val="0"/>
              <w:adjustRightInd/>
              <w:snapToGrid/>
              <w:spacing w:after="120" w:line="240" w:lineRule="exact"/>
              <w:jc w:val="center"/>
              <w:textAlignment w:val="auto"/>
              <w:rPr>
                <w:rFonts w:hint="eastAsia" w:ascii="黑体" w:hAnsi="黑体" w:eastAsia="黑体" w:cs="黑体"/>
                <w:kern w:val="2"/>
                <w:sz w:val="21"/>
                <w:szCs w:val="21"/>
                <w:lang w:val="en-US" w:eastAsia="zh-CN" w:bidi="ar-SA"/>
              </w:rPr>
            </w:pPr>
            <w:r>
              <w:rPr>
                <w:rFonts w:hint="eastAsia" w:ascii="黑体" w:hAnsi="黑体" w:eastAsia="黑体"/>
                <w:szCs w:val="21"/>
              </w:rPr>
              <w:t>可</w:t>
            </w:r>
            <w:r>
              <w:rPr>
                <w:rFonts w:hint="eastAsia" w:ascii="黑体" w:hAnsi="黑体" w:eastAsia="黑体"/>
                <w:szCs w:val="21"/>
                <w:lang w:eastAsia="zh-CN"/>
              </w:rPr>
              <w:t>检视</w:t>
            </w:r>
            <w:r>
              <w:rPr>
                <w:rFonts w:hint="eastAsia" w:ascii="黑体" w:hAnsi="黑体" w:eastAsia="黑体"/>
                <w:szCs w:val="21"/>
              </w:rPr>
              <w:t>成果</w:t>
            </w:r>
          </w:p>
        </w:tc>
      </w:tr>
      <w:tr w14:paraId="5C9C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170" w:type="dxa"/>
            <w:vMerge w:val="restart"/>
            <w:vAlign w:val="center"/>
          </w:tcPr>
          <w:p w14:paraId="1F654171">
            <w:pPr>
              <w:spacing w:after="120"/>
              <w:jc w:val="both"/>
              <w:rPr>
                <w:rFonts w:hint="eastAsia" w:ascii="仿宋" w:hAnsi="仿宋" w:eastAsia="仿宋" w:cs="仿宋"/>
                <w:szCs w:val="21"/>
              </w:rPr>
            </w:pPr>
            <w:r>
              <w:rPr>
                <w:rFonts w:hint="eastAsia" w:ascii="仿宋" w:hAnsi="仿宋" w:eastAsia="仿宋" w:cs="仿宋"/>
                <w:szCs w:val="21"/>
                <w:lang w:eastAsia="zh-CN"/>
              </w:rPr>
              <w:t>七、强化政务公开机制保障和队伍建设</w:t>
            </w:r>
          </w:p>
        </w:tc>
        <w:tc>
          <w:tcPr>
            <w:tcW w:w="1375" w:type="dxa"/>
            <w:vMerge w:val="restart"/>
            <w:vAlign w:val="center"/>
          </w:tcPr>
          <w:p w14:paraId="257BA345">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（三十二）加强队伍建设</w:t>
            </w:r>
          </w:p>
        </w:tc>
        <w:tc>
          <w:tcPr>
            <w:tcW w:w="3517" w:type="dxa"/>
            <w:vAlign w:val="center"/>
          </w:tcPr>
          <w:p w14:paraId="4E3AA0A2">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77.各地、各部门政务公开工作人员发生变动的，要逐项做好工作交接，并第一时间向上级政务公开（政府信息公开）主管部门备案</w:t>
            </w:r>
          </w:p>
        </w:tc>
        <w:tc>
          <w:tcPr>
            <w:tcW w:w="1695" w:type="dxa"/>
            <w:vMerge w:val="restart"/>
            <w:vAlign w:val="center"/>
          </w:tcPr>
          <w:p w14:paraId="583393D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牵头部门：市政数局、市政府办</w:t>
            </w:r>
          </w:p>
          <w:p w14:paraId="5E22EC0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配合部门：市政府各相关部门</w:t>
            </w:r>
          </w:p>
          <w:p w14:paraId="55F66E46">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lang w:eastAsia="zh-CN"/>
              </w:rPr>
            </w:pPr>
            <w:r>
              <w:rPr>
                <w:rFonts w:hint="eastAsia" w:ascii="仿宋" w:hAnsi="仿宋" w:eastAsia="仿宋" w:cs="仿宋"/>
                <w:lang w:val="en-US" w:eastAsia="zh-CN"/>
              </w:rPr>
              <w:t>县（市）区政府</w:t>
            </w:r>
          </w:p>
        </w:tc>
        <w:tc>
          <w:tcPr>
            <w:tcW w:w="4888" w:type="dxa"/>
            <w:vAlign w:val="center"/>
          </w:tcPr>
          <w:p w14:paraId="1C632AA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（84）为保持工作连贯性和可持续性，原则上工作人员不满一个年度工作周期不得更换岗位，未找到接替人员或未履行工作交接、带教程序的不得提前离岗。更换人员及时备案。</w:t>
            </w:r>
          </w:p>
        </w:tc>
        <w:tc>
          <w:tcPr>
            <w:tcW w:w="1125" w:type="dxa"/>
            <w:vAlign w:val="center"/>
          </w:tcPr>
          <w:p w14:paraId="27BA2454">
            <w:pPr>
              <w:spacing w:after="120"/>
              <w:jc w:val="both"/>
              <w:rPr>
                <w:rFonts w:hint="eastAsia" w:ascii="仿宋" w:hAnsi="仿宋" w:eastAsia="仿宋" w:cs="仿宋"/>
                <w:szCs w:val="21"/>
                <w:lang w:val="en-US" w:eastAsia="zh-CN"/>
              </w:rPr>
            </w:pPr>
            <w:r>
              <w:rPr>
                <w:rFonts w:hint="eastAsia" w:ascii="仿宋" w:hAnsi="仿宋" w:eastAsia="仿宋" w:cs="仿宋"/>
                <w:szCs w:val="21"/>
                <w:lang w:val="en-US" w:eastAsia="zh-CN"/>
              </w:rPr>
              <w:t>贯穿全年</w:t>
            </w:r>
          </w:p>
        </w:tc>
        <w:tc>
          <w:tcPr>
            <w:tcW w:w="1737" w:type="dxa"/>
            <w:vAlign w:val="center"/>
          </w:tcPr>
          <w:p w14:paraId="2C086E38">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保持工作连贯</w:t>
            </w:r>
          </w:p>
        </w:tc>
      </w:tr>
      <w:tr w14:paraId="1D7D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70" w:type="dxa"/>
            <w:vMerge w:val="continue"/>
            <w:vAlign w:val="center"/>
          </w:tcPr>
          <w:p w14:paraId="50F5A26F">
            <w:pPr>
              <w:spacing w:after="120"/>
              <w:jc w:val="both"/>
              <w:rPr>
                <w:rFonts w:hint="eastAsia" w:ascii="仿宋" w:hAnsi="仿宋" w:eastAsia="仿宋" w:cs="仿宋"/>
                <w:szCs w:val="21"/>
              </w:rPr>
            </w:pPr>
          </w:p>
        </w:tc>
        <w:tc>
          <w:tcPr>
            <w:tcW w:w="1375" w:type="dxa"/>
            <w:vMerge w:val="continue"/>
            <w:vAlign w:val="center"/>
          </w:tcPr>
          <w:p w14:paraId="59FA9A06">
            <w:pPr>
              <w:spacing w:after="120"/>
              <w:jc w:val="both"/>
              <w:rPr>
                <w:rFonts w:hint="eastAsia" w:ascii="仿宋" w:hAnsi="仿宋" w:eastAsia="仿宋" w:cs="仿宋"/>
                <w:szCs w:val="21"/>
                <w:lang w:eastAsia="zh-CN"/>
              </w:rPr>
            </w:pPr>
          </w:p>
        </w:tc>
        <w:tc>
          <w:tcPr>
            <w:tcW w:w="3517" w:type="dxa"/>
            <w:vAlign w:val="center"/>
          </w:tcPr>
          <w:p w14:paraId="6FB160C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78.适时组织全市政务公开（政府信息公开）工作培训，各地各部门年内组织培训不少于1次</w:t>
            </w:r>
          </w:p>
        </w:tc>
        <w:tc>
          <w:tcPr>
            <w:tcW w:w="1695" w:type="dxa"/>
            <w:vMerge w:val="continue"/>
            <w:vAlign w:val="center"/>
          </w:tcPr>
          <w:p w14:paraId="70D2A42C">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6BFEE3B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（85）结合队伍建设和年度重点工作任务情况，视情采取邀请专家授课或以会代训的形式，开展培训。</w:t>
            </w:r>
          </w:p>
        </w:tc>
        <w:tc>
          <w:tcPr>
            <w:tcW w:w="1125" w:type="dxa"/>
            <w:vAlign w:val="center"/>
          </w:tcPr>
          <w:p w14:paraId="241AB2B3">
            <w:pPr>
              <w:spacing w:after="120"/>
              <w:jc w:val="both"/>
              <w:rPr>
                <w:rFonts w:hint="eastAsia" w:ascii="仿宋" w:hAnsi="仿宋" w:eastAsia="仿宋" w:cs="仿宋"/>
                <w:szCs w:val="21"/>
                <w:lang w:val="en-US" w:eastAsia="zh-CN"/>
              </w:rPr>
            </w:pPr>
            <w:r>
              <w:rPr>
                <w:rFonts w:hint="eastAsia" w:ascii="仿宋" w:hAnsi="仿宋" w:eastAsia="仿宋" w:cs="仿宋"/>
                <w:szCs w:val="21"/>
                <w:lang w:val="en-US" w:eastAsia="zh-CN"/>
              </w:rPr>
              <w:t>9月底前</w:t>
            </w:r>
          </w:p>
        </w:tc>
        <w:tc>
          <w:tcPr>
            <w:tcW w:w="1737" w:type="dxa"/>
            <w:vAlign w:val="center"/>
          </w:tcPr>
          <w:p w14:paraId="23FA69F1">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培训情景资料</w:t>
            </w:r>
          </w:p>
        </w:tc>
      </w:tr>
      <w:tr w14:paraId="028C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70" w:type="dxa"/>
            <w:vMerge w:val="continue"/>
            <w:vAlign w:val="center"/>
          </w:tcPr>
          <w:p w14:paraId="48D3936A">
            <w:pPr>
              <w:spacing w:after="120"/>
              <w:jc w:val="both"/>
              <w:rPr>
                <w:rFonts w:hint="eastAsia" w:ascii="仿宋" w:hAnsi="仿宋" w:eastAsia="仿宋" w:cs="仿宋"/>
                <w:szCs w:val="21"/>
              </w:rPr>
            </w:pPr>
          </w:p>
        </w:tc>
        <w:tc>
          <w:tcPr>
            <w:tcW w:w="1375" w:type="dxa"/>
            <w:vMerge w:val="restart"/>
            <w:vAlign w:val="center"/>
          </w:tcPr>
          <w:p w14:paraId="58287F6D">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（三十三）强化监督问责</w:t>
            </w:r>
          </w:p>
        </w:tc>
        <w:tc>
          <w:tcPr>
            <w:tcW w:w="3517" w:type="dxa"/>
            <w:vAlign w:val="center"/>
          </w:tcPr>
          <w:p w14:paraId="028DA71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79.及时通报国办和省组织的年度政务公开检查、评估、考核结果，表扬先进，督促问题地区或部门抓整改</w:t>
            </w:r>
          </w:p>
        </w:tc>
        <w:tc>
          <w:tcPr>
            <w:tcW w:w="1695" w:type="dxa"/>
            <w:vMerge w:val="restart"/>
            <w:vAlign w:val="center"/>
          </w:tcPr>
          <w:p w14:paraId="3CF43DA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牵头部门：市政数局、市政府办</w:t>
            </w:r>
          </w:p>
          <w:p w14:paraId="7F3C18D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配合部门：市政府各相关部门</w:t>
            </w:r>
          </w:p>
          <w:p w14:paraId="7EAFC80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r>
              <w:rPr>
                <w:rFonts w:hint="eastAsia" w:ascii="仿宋" w:hAnsi="仿宋" w:eastAsia="仿宋" w:cs="仿宋"/>
                <w:lang w:val="en-US" w:eastAsia="zh-CN"/>
              </w:rPr>
              <w:t>县（市）区政府</w:t>
            </w:r>
          </w:p>
        </w:tc>
        <w:tc>
          <w:tcPr>
            <w:tcW w:w="4888" w:type="dxa"/>
            <w:vAlign w:val="center"/>
          </w:tcPr>
          <w:p w14:paraId="7B4BC5D8">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（86）待省通报下发或结果反馈后及时制发通报</w:t>
            </w:r>
          </w:p>
        </w:tc>
        <w:tc>
          <w:tcPr>
            <w:tcW w:w="1125" w:type="dxa"/>
            <w:vAlign w:val="center"/>
          </w:tcPr>
          <w:p w14:paraId="488A4CB9">
            <w:pPr>
              <w:spacing w:after="120"/>
              <w:jc w:val="both"/>
              <w:rPr>
                <w:rFonts w:hint="eastAsia" w:ascii="仿宋" w:hAnsi="仿宋" w:eastAsia="仿宋" w:cs="仿宋"/>
                <w:szCs w:val="21"/>
                <w:lang w:val="en-US" w:eastAsia="zh-CN"/>
              </w:rPr>
            </w:pPr>
            <w:r>
              <w:rPr>
                <w:rFonts w:hint="eastAsia" w:ascii="仿宋" w:hAnsi="仿宋" w:eastAsia="仿宋" w:cs="仿宋"/>
                <w:szCs w:val="21"/>
                <w:lang w:val="en-US" w:eastAsia="zh-CN"/>
              </w:rPr>
              <w:t>贯穿全年</w:t>
            </w:r>
          </w:p>
        </w:tc>
        <w:tc>
          <w:tcPr>
            <w:tcW w:w="1737" w:type="dxa"/>
            <w:vAlign w:val="center"/>
          </w:tcPr>
          <w:p w14:paraId="4FADAE48">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通报材料</w:t>
            </w:r>
          </w:p>
        </w:tc>
      </w:tr>
      <w:tr w14:paraId="7567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70" w:type="dxa"/>
            <w:vMerge w:val="continue"/>
            <w:vAlign w:val="center"/>
          </w:tcPr>
          <w:p w14:paraId="5871CBC3">
            <w:pPr>
              <w:spacing w:after="120"/>
              <w:jc w:val="both"/>
              <w:rPr>
                <w:rFonts w:hint="eastAsia" w:ascii="仿宋" w:hAnsi="仿宋" w:eastAsia="仿宋" w:cs="仿宋"/>
                <w:szCs w:val="21"/>
              </w:rPr>
            </w:pPr>
          </w:p>
        </w:tc>
        <w:tc>
          <w:tcPr>
            <w:tcW w:w="1375" w:type="dxa"/>
            <w:vMerge w:val="continue"/>
            <w:vAlign w:val="center"/>
          </w:tcPr>
          <w:p w14:paraId="20E44E8B">
            <w:pPr>
              <w:spacing w:after="120"/>
              <w:jc w:val="both"/>
              <w:rPr>
                <w:rFonts w:hint="eastAsia" w:ascii="仿宋" w:hAnsi="仿宋" w:eastAsia="仿宋" w:cs="仿宋"/>
                <w:szCs w:val="21"/>
                <w:lang w:eastAsia="zh-CN"/>
              </w:rPr>
            </w:pPr>
          </w:p>
        </w:tc>
        <w:tc>
          <w:tcPr>
            <w:tcW w:w="3517" w:type="dxa"/>
            <w:vAlign w:val="center"/>
          </w:tcPr>
          <w:p w14:paraId="78961F5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80.按照条例和文件要求，将政务公开（政府信息公开）工作纳入全市绩效考核范畴，抓好常态监督管理</w:t>
            </w:r>
          </w:p>
        </w:tc>
        <w:tc>
          <w:tcPr>
            <w:tcW w:w="1695" w:type="dxa"/>
            <w:vMerge w:val="continue"/>
            <w:vAlign w:val="center"/>
          </w:tcPr>
          <w:p w14:paraId="05B6E437">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061D683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（87）制定下发年度政务公开（政府信息公开）绩效考核实施方案</w:t>
            </w:r>
          </w:p>
        </w:tc>
        <w:tc>
          <w:tcPr>
            <w:tcW w:w="1125" w:type="dxa"/>
            <w:vAlign w:val="center"/>
          </w:tcPr>
          <w:p w14:paraId="3EB64918">
            <w:pPr>
              <w:spacing w:after="120"/>
              <w:jc w:val="both"/>
              <w:rPr>
                <w:rFonts w:hint="default" w:ascii="仿宋" w:hAnsi="仿宋" w:eastAsia="仿宋" w:cs="仿宋"/>
                <w:szCs w:val="21"/>
                <w:lang w:val="en-US" w:eastAsia="zh-CN"/>
              </w:rPr>
            </w:pPr>
            <w:r>
              <w:rPr>
                <w:rFonts w:hint="eastAsia" w:ascii="仿宋" w:hAnsi="仿宋" w:eastAsia="仿宋" w:cs="仿宋"/>
                <w:szCs w:val="21"/>
                <w:lang w:val="en-US" w:eastAsia="zh-CN"/>
              </w:rPr>
              <w:t>5月底前</w:t>
            </w:r>
          </w:p>
        </w:tc>
        <w:tc>
          <w:tcPr>
            <w:tcW w:w="1737" w:type="dxa"/>
            <w:vAlign w:val="center"/>
          </w:tcPr>
          <w:p w14:paraId="5A1F8943">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考核实施方案</w:t>
            </w:r>
          </w:p>
        </w:tc>
      </w:tr>
      <w:tr w14:paraId="5FCA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70" w:type="dxa"/>
            <w:vMerge w:val="continue"/>
            <w:vAlign w:val="center"/>
          </w:tcPr>
          <w:p w14:paraId="2C6A75CC">
            <w:pPr>
              <w:spacing w:after="120"/>
              <w:jc w:val="both"/>
              <w:rPr>
                <w:rFonts w:hint="eastAsia" w:ascii="仿宋" w:hAnsi="仿宋" w:eastAsia="仿宋" w:cs="仿宋"/>
                <w:szCs w:val="21"/>
              </w:rPr>
            </w:pPr>
          </w:p>
        </w:tc>
        <w:tc>
          <w:tcPr>
            <w:tcW w:w="1375" w:type="dxa"/>
            <w:vMerge w:val="continue"/>
            <w:vAlign w:val="center"/>
          </w:tcPr>
          <w:p w14:paraId="4E2BBDC9">
            <w:pPr>
              <w:spacing w:after="120"/>
              <w:jc w:val="both"/>
              <w:rPr>
                <w:rFonts w:hint="eastAsia" w:ascii="仿宋" w:hAnsi="仿宋" w:eastAsia="仿宋" w:cs="仿宋"/>
                <w:szCs w:val="21"/>
                <w:lang w:eastAsia="zh-CN"/>
              </w:rPr>
            </w:pPr>
          </w:p>
        </w:tc>
        <w:tc>
          <w:tcPr>
            <w:tcW w:w="3517" w:type="dxa"/>
            <w:vAlign w:val="center"/>
          </w:tcPr>
          <w:p w14:paraId="580A7BA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81.按照省统一部署，运用政务公开智能监管平台，开展政务信息抓取和分析，丰富监督考核手段</w:t>
            </w:r>
          </w:p>
        </w:tc>
        <w:tc>
          <w:tcPr>
            <w:tcW w:w="1695" w:type="dxa"/>
            <w:vMerge w:val="continue"/>
            <w:vAlign w:val="center"/>
          </w:tcPr>
          <w:p w14:paraId="2B84F584">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32F9A83C">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（88）配合省平台建设，抓好智能监察任务标签的梳理、信息采集及系统调试、运行等工作</w:t>
            </w:r>
          </w:p>
        </w:tc>
        <w:tc>
          <w:tcPr>
            <w:tcW w:w="1125" w:type="dxa"/>
            <w:vAlign w:val="center"/>
          </w:tcPr>
          <w:p w14:paraId="24DD05F7">
            <w:pPr>
              <w:spacing w:after="120"/>
              <w:jc w:val="both"/>
              <w:rPr>
                <w:rFonts w:hint="default" w:ascii="仿宋" w:hAnsi="仿宋" w:eastAsia="仿宋" w:cs="仿宋"/>
                <w:szCs w:val="21"/>
                <w:lang w:val="en-US" w:eastAsia="zh-CN"/>
              </w:rPr>
            </w:pPr>
            <w:r>
              <w:rPr>
                <w:rFonts w:hint="eastAsia" w:ascii="仿宋" w:hAnsi="仿宋" w:eastAsia="仿宋" w:cs="仿宋"/>
                <w:szCs w:val="21"/>
                <w:lang w:val="en-US" w:eastAsia="zh-CN"/>
              </w:rPr>
              <w:t>12月底前</w:t>
            </w:r>
          </w:p>
        </w:tc>
        <w:tc>
          <w:tcPr>
            <w:tcW w:w="1737" w:type="dxa"/>
            <w:vAlign w:val="center"/>
          </w:tcPr>
          <w:p w14:paraId="609E705C">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智能监察系统</w:t>
            </w:r>
          </w:p>
        </w:tc>
      </w:tr>
      <w:tr w14:paraId="3170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170" w:type="dxa"/>
            <w:vMerge w:val="continue"/>
            <w:vAlign w:val="center"/>
          </w:tcPr>
          <w:p w14:paraId="72A26C65">
            <w:pPr>
              <w:spacing w:after="120"/>
              <w:jc w:val="both"/>
              <w:rPr>
                <w:rFonts w:hint="eastAsia" w:ascii="仿宋" w:hAnsi="仿宋" w:eastAsia="仿宋" w:cs="仿宋"/>
                <w:szCs w:val="21"/>
              </w:rPr>
            </w:pPr>
          </w:p>
        </w:tc>
        <w:tc>
          <w:tcPr>
            <w:tcW w:w="1375" w:type="dxa"/>
            <w:vMerge w:val="restart"/>
            <w:vAlign w:val="center"/>
          </w:tcPr>
          <w:p w14:paraId="7245F04F">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（三十四）强化抓落实</w:t>
            </w:r>
          </w:p>
        </w:tc>
        <w:tc>
          <w:tcPr>
            <w:tcW w:w="3517" w:type="dxa"/>
            <w:vAlign w:val="center"/>
          </w:tcPr>
          <w:p w14:paraId="18E5F460">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82.根据国办和省工作要点，制订本地、本部门年度政务公开工作要点或台账，并在20个工作日内公开发布</w:t>
            </w:r>
          </w:p>
        </w:tc>
        <w:tc>
          <w:tcPr>
            <w:tcW w:w="1695" w:type="dxa"/>
            <w:vMerge w:val="restart"/>
            <w:vAlign w:val="center"/>
          </w:tcPr>
          <w:p w14:paraId="57C4FCDD">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牵头部门：市政数局、市政府办</w:t>
            </w:r>
          </w:p>
          <w:p w14:paraId="700DF921">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配合部门：市政府各相关部门</w:t>
            </w:r>
          </w:p>
          <w:p w14:paraId="4D57057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r>
              <w:rPr>
                <w:rFonts w:hint="eastAsia" w:ascii="仿宋" w:hAnsi="仿宋" w:eastAsia="仿宋" w:cs="仿宋"/>
                <w:lang w:val="en-US" w:eastAsia="zh-CN"/>
              </w:rPr>
              <w:t>县（市）区政府</w:t>
            </w:r>
          </w:p>
        </w:tc>
        <w:tc>
          <w:tcPr>
            <w:tcW w:w="4888" w:type="dxa"/>
            <w:vAlign w:val="center"/>
          </w:tcPr>
          <w:p w14:paraId="23267C0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（89）逐级梳理要点工作，纳入年度工作计划台帐</w:t>
            </w:r>
          </w:p>
        </w:tc>
        <w:tc>
          <w:tcPr>
            <w:tcW w:w="1125" w:type="dxa"/>
            <w:vAlign w:val="center"/>
          </w:tcPr>
          <w:p w14:paraId="582B0C75">
            <w:pPr>
              <w:spacing w:after="120"/>
              <w:jc w:val="both"/>
              <w:rPr>
                <w:rFonts w:hint="default" w:ascii="仿宋" w:hAnsi="仿宋" w:eastAsia="仿宋" w:cs="仿宋"/>
                <w:szCs w:val="21"/>
                <w:lang w:val="en-US" w:eastAsia="zh-CN"/>
              </w:rPr>
            </w:pPr>
            <w:r>
              <w:rPr>
                <w:rFonts w:hint="eastAsia" w:ascii="仿宋" w:hAnsi="仿宋" w:eastAsia="仿宋" w:cs="仿宋"/>
                <w:szCs w:val="21"/>
                <w:lang w:val="en-US" w:eastAsia="zh-CN"/>
              </w:rPr>
              <w:t>6月底前</w:t>
            </w:r>
          </w:p>
        </w:tc>
        <w:tc>
          <w:tcPr>
            <w:tcW w:w="1737" w:type="dxa"/>
            <w:vAlign w:val="center"/>
          </w:tcPr>
          <w:p w14:paraId="6D7693A0">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在政府信息公开专栏中公开</w:t>
            </w:r>
          </w:p>
        </w:tc>
      </w:tr>
      <w:tr w14:paraId="3DCF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70" w:type="dxa"/>
            <w:vMerge w:val="continue"/>
            <w:vAlign w:val="center"/>
          </w:tcPr>
          <w:p w14:paraId="6320AFAE">
            <w:pPr>
              <w:spacing w:after="120"/>
              <w:jc w:val="both"/>
              <w:rPr>
                <w:rFonts w:hint="eastAsia" w:ascii="仿宋" w:hAnsi="仿宋" w:eastAsia="仿宋" w:cs="仿宋"/>
                <w:szCs w:val="21"/>
              </w:rPr>
            </w:pPr>
          </w:p>
        </w:tc>
        <w:tc>
          <w:tcPr>
            <w:tcW w:w="1375" w:type="dxa"/>
            <w:vMerge w:val="continue"/>
            <w:vAlign w:val="center"/>
          </w:tcPr>
          <w:p w14:paraId="4F9DD0F6">
            <w:pPr>
              <w:spacing w:after="120"/>
              <w:jc w:val="both"/>
              <w:rPr>
                <w:rFonts w:hint="eastAsia" w:ascii="仿宋" w:hAnsi="仿宋" w:eastAsia="仿宋" w:cs="仿宋"/>
                <w:szCs w:val="21"/>
                <w:lang w:eastAsia="zh-CN"/>
              </w:rPr>
            </w:pPr>
          </w:p>
        </w:tc>
        <w:tc>
          <w:tcPr>
            <w:tcW w:w="3517" w:type="dxa"/>
            <w:vAlign w:val="center"/>
          </w:tcPr>
          <w:p w14:paraId="244D5FE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83.各地好经验好做法，每季向省和市政务公开（政府信息公开）领导小组办公室报送至少1篇</w:t>
            </w:r>
          </w:p>
        </w:tc>
        <w:tc>
          <w:tcPr>
            <w:tcW w:w="1695" w:type="dxa"/>
            <w:vMerge w:val="continue"/>
            <w:vAlign w:val="center"/>
          </w:tcPr>
          <w:p w14:paraId="46BEF323">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4389B27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（90）建立信息报送工作机制，鼓励各地编辑政务公开（政府信息公开）工作信息简报，增进工作交流</w:t>
            </w:r>
          </w:p>
        </w:tc>
        <w:tc>
          <w:tcPr>
            <w:tcW w:w="1125" w:type="dxa"/>
            <w:vAlign w:val="center"/>
          </w:tcPr>
          <w:p w14:paraId="41E67CDB">
            <w:pPr>
              <w:spacing w:after="120"/>
              <w:jc w:val="both"/>
              <w:rPr>
                <w:rFonts w:hint="eastAsia" w:ascii="仿宋" w:hAnsi="仿宋" w:eastAsia="仿宋" w:cs="仿宋"/>
                <w:szCs w:val="21"/>
                <w:lang w:val="en-US" w:eastAsia="zh-CN"/>
              </w:rPr>
            </w:pPr>
            <w:r>
              <w:rPr>
                <w:rFonts w:hint="eastAsia" w:ascii="仿宋" w:hAnsi="仿宋" w:eastAsia="仿宋" w:cs="仿宋"/>
                <w:szCs w:val="21"/>
                <w:lang w:val="en-US" w:eastAsia="zh-CN"/>
              </w:rPr>
              <w:t>贯穿全年</w:t>
            </w:r>
          </w:p>
        </w:tc>
        <w:tc>
          <w:tcPr>
            <w:tcW w:w="1737" w:type="dxa"/>
            <w:vAlign w:val="center"/>
          </w:tcPr>
          <w:p w14:paraId="603D5453">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定期报送及转载刊发情况</w:t>
            </w:r>
          </w:p>
        </w:tc>
      </w:tr>
      <w:tr w14:paraId="4E01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0" w:type="dxa"/>
            <w:vMerge w:val="continue"/>
            <w:vAlign w:val="center"/>
          </w:tcPr>
          <w:p w14:paraId="455ECAB8">
            <w:pPr>
              <w:spacing w:after="120"/>
              <w:jc w:val="both"/>
              <w:rPr>
                <w:rFonts w:hint="eastAsia" w:ascii="仿宋" w:hAnsi="仿宋" w:eastAsia="仿宋" w:cs="仿宋"/>
                <w:szCs w:val="21"/>
              </w:rPr>
            </w:pPr>
          </w:p>
        </w:tc>
        <w:tc>
          <w:tcPr>
            <w:tcW w:w="1375" w:type="dxa"/>
            <w:vMerge w:val="continue"/>
            <w:vAlign w:val="center"/>
          </w:tcPr>
          <w:p w14:paraId="148F76B7">
            <w:pPr>
              <w:spacing w:after="120"/>
              <w:jc w:val="both"/>
              <w:rPr>
                <w:rFonts w:hint="eastAsia" w:ascii="仿宋" w:hAnsi="仿宋" w:eastAsia="仿宋" w:cs="仿宋"/>
                <w:szCs w:val="21"/>
                <w:lang w:eastAsia="zh-CN"/>
              </w:rPr>
            </w:pPr>
          </w:p>
        </w:tc>
        <w:tc>
          <w:tcPr>
            <w:tcW w:w="3517" w:type="dxa"/>
            <w:vAlign w:val="center"/>
          </w:tcPr>
          <w:p w14:paraId="224828AE">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84.适时对上一年度工作要点落实情况开展“回头看”，逐项检查核销</w:t>
            </w:r>
          </w:p>
        </w:tc>
        <w:tc>
          <w:tcPr>
            <w:tcW w:w="1695" w:type="dxa"/>
            <w:vMerge w:val="continue"/>
            <w:vAlign w:val="center"/>
          </w:tcPr>
          <w:p w14:paraId="3516CD88">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4D8FCA5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（91）结合迎接上级考核，及时开展自查自纠和问题整治工作</w:t>
            </w:r>
          </w:p>
        </w:tc>
        <w:tc>
          <w:tcPr>
            <w:tcW w:w="1125" w:type="dxa"/>
            <w:vAlign w:val="center"/>
          </w:tcPr>
          <w:p w14:paraId="232F9232">
            <w:pPr>
              <w:spacing w:after="120"/>
              <w:jc w:val="both"/>
              <w:rPr>
                <w:rFonts w:hint="eastAsia" w:ascii="仿宋" w:hAnsi="仿宋" w:eastAsia="仿宋" w:cs="仿宋"/>
                <w:szCs w:val="21"/>
                <w:lang w:val="en-US" w:eastAsia="zh-CN"/>
              </w:rPr>
            </w:pPr>
            <w:r>
              <w:rPr>
                <w:rFonts w:hint="eastAsia" w:ascii="仿宋" w:hAnsi="仿宋" w:eastAsia="仿宋" w:cs="仿宋"/>
                <w:szCs w:val="21"/>
                <w:lang w:val="en-US" w:eastAsia="zh-CN"/>
              </w:rPr>
              <w:t>贯穿全年</w:t>
            </w:r>
          </w:p>
        </w:tc>
        <w:tc>
          <w:tcPr>
            <w:tcW w:w="1737" w:type="dxa"/>
            <w:vAlign w:val="center"/>
          </w:tcPr>
          <w:p w14:paraId="684C0626">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工作通知</w:t>
            </w:r>
          </w:p>
        </w:tc>
      </w:tr>
      <w:tr w14:paraId="39E0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170" w:type="dxa"/>
            <w:vMerge w:val="continue"/>
            <w:vAlign w:val="center"/>
          </w:tcPr>
          <w:p w14:paraId="39356708">
            <w:pPr>
              <w:spacing w:after="120"/>
              <w:jc w:val="both"/>
              <w:rPr>
                <w:rFonts w:hint="eastAsia" w:ascii="仿宋" w:hAnsi="仿宋" w:eastAsia="仿宋" w:cs="仿宋"/>
                <w:szCs w:val="21"/>
              </w:rPr>
            </w:pPr>
          </w:p>
        </w:tc>
        <w:tc>
          <w:tcPr>
            <w:tcW w:w="1375" w:type="dxa"/>
            <w:vMerge w:val="continue"/>
            <w:vAlign w:val="center"/>
          </w:tcPr>
          <w:p w14:paraId="3D19F4A8">
            <w:pPr>
              <w:spacing w:after="120"/>
              <w:jc w:val="both"/>
              <w:rPr>
                <w:rFonts w:hint="eastAsia" w:ascii="仿宋" w:hAnsi="仿宋" w:eastAsia="仿宋" w:cs="仿宋"/>
                <w:szCs w:val="21"/>
                <w:lang w:eastAsia="zh-CN"/>
              </w:rPr>
            </w:pPr>
          </w:p>
        </w:tc>
        <w:tc>
          <w:tcPr>
            <w:tcW w:w="3517" w:type="dxa"/>
            <w:vAlign w:val="center"/>
          </w:tcPr>
          <w:p w14:paraId="1AEB3F3B">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85.将工作要点或台账的落实情况，纳入本级政府信息公开年度报告中面向社会公开</w:t>
            </w:r>
          </w:p>
        </w:tc>
        <w:tc>
          <w:tcPr>
            <w:tcW w:w="1695" w:type="dxa"/>
            <w:vMerge w:val="continue"/>
            <w:vAlign w:val="center"/>
          </w:tcPr>
          <w:p w14:paraId="732D7985">
            <w:pPr>
              <w:keepNext w:val="0"/>
              <w:keepLines w:val="0"/>
              <w:pageBreakBefore w:val="0"/>
              <w:widowControl w:val="0"/>
              <w:kinsoku/>
              <w:wordWrap/>
              <w:overflowPunct/>
              <w:topLinePunct w:val="0"/>
              <w:autoSpaceDE/>
              <w:autoSpaceDN/>
              <w:bidi w:val="0"/>
              <w:adjustRightInd/>
              <w:snapToGrid/>
              <w:spacing w:after="120" w:line="240" w:lineRule="exact"/>
              <w:jc w:val="both"/>
              <w:textAlignment w:val="auto"/>
              <w:rPr>
                <w:rFonts w:hint="eastAsia" w:ascii="仿宋" w:hAnsi="仿宋" w:eastAsia="仿宋" w:cs="仿宋"/>
                <w:sz w:val="21"/>
                <w:szCs w:val="21"/>
              </w:rPr>
            </w:pPr>
          </w:p>
        </w:tc>
        <w:tc>
          <w:tcPr>
            <w:tcW w:w="4888" w:type="dxa"/>
            <w:vAlign w:val="center"/>
          </w:tcPr>
          <w:p w14:paraId="0C24EAE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（92）将国办政务公开要点贯彻落实情况纳入各级各部门政府信息公开年度报告基本情况重要表述</w:t>
            </w:r>
          </w:p>
        </w:tc>
        <w:tc>
          <w:tcPr>
            <w:tcW w:w="1125" w:type="dxa"/>
            <w:vAlign w:val="center"/>
          </w:tcPr>
          <w:p w14:paraId="5AE5150F">
            <w:pPr>
              <w:spacing w:after="120"/>
              <w:jc w:val="both"/>
              <w:rPr>
                <w:rFonts w:hint="eastAsia" w:ascii="仿宋" w:hAnsi="仿宋" w:eastAsia="仿宋" w:cs="仿宋"/>
                <w:szCs w:val="21"/>
                <w:lang w:val="en-US" w:eastAsia="zh-CN"/>
              </w:rPr>
            </w:pPr>
            <w:r>
              <w:rPr>
                <w:rFonts w:hint="eastAsia" w:ascii="仿宋" w:hAnsi="仿宋" w:eastAsia="仿宋" w:cs="仿宋"/>
                <w:szCs w:val="21"/>
                <w:lang w:val="en-US" w:eastAsia="zh-CN"/>
              </w:rPr>
              <w:t>按照年报发布时间</w:t>
            </w:r>
          </w:p>
        </w:tc>
        <w:tc>
          <w:tcPr>
            <w:tcW w:w="1737" w:type="dxa"/>
            <w:vAlign w:val="center"/>
          </w:tcPr>
          <w:p w14:paraId="3643C3EA">
            <w:pPr>
              <w:spacing w:after="120"/>
              <w:jc w:val="both"/>
              <w:rPr>
                <w:rFonts w:hint="eastAsia" w:ascii="仿宋" w:hAnsi="仿宋" w:eastAsia="仿宋" w:cs="仿宋"/>
                <w:szCs w:val="21"/>
                <w:lang w:eastAsia="zh-CN"/>
              </w:rPr>
            </w:pPr>
            <w:r>
              <w:rPr>
                <w:rFonts w:hint="eastAsia" w:ascii="仿宋" w:hAnsi="仿宋" w:eastAsia="仿宋" w:cs="仿宋"/>
                <w:szCs w:val="21"/>
                <w:lang w:eastAsia="zh-CN"/>
              </w:rPr>
              <w:t>政府信息公开年度报告</w:t>
            </w:r>
          </w:p>
        </w:tc>
      </w:tr>
    </w:tbl>
    <w:p w14:paraId="14AD1332">
      <w:pPr>
        <w:spacing w:line="600" w:lineRule="exact"/>
        <w:rPr>
          <w:rFonts w:hint="eastAsia" w:ascii="仿宋" w:hAnsi="仿宋" w:eastAsia="仿宋"/>
          <w:szCs w:val="21"/>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5CF9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F3511">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0F3511">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C39C5"/>
    <w:multiLevelType w:val="singleLevel"/>
    <w:tmpl w:val="67AC39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ZWY0NzQ4YWUzM2Y1NzExYTdhMGQxZWNlMjhiOTYifQ=="/>
  </w:docVars>
  <w:rsids>
    <w:rsidRoot w:val="0026282B"/>
    <w:rsid w:val="00074088"/>
    <w:rsid w:val="00111043"/>
    <w:rsid w:val="001D71CD"/>
    <w:rsid w:val="001E193B"/>
    <w:rsid w:val="001E31B4"/>
    <w:rsid w:val="00246E88"/>
    <w:rsid w:val="0026282B"/>
    <w:rsid w:val="00274932"/>
    <w:rsid w:val="00291F78"/>
    <w:rsid w:val="00293BD2"/>
    <w:rsid w:val="002E7FF0"/>
    <w:rsid w:val="003A6450"/>
    <w:rsid w:val="004874D5"/>
    <w:rsid w:val="004B1C70"/>
    <w:rsid w:val="004B3DC9"/>
    <w:rsid w:val="004C6879"/>
    <w:rsid w:val="005E361E"/>
    <w:rsid w:val="006115FB"/>
    <w:rsid w:val="006B3D23"/>
    <w:rsid w:val="006F49A4"/>
    <w:rsid w:val="007A62E9"/>
    <w:rsid w:val="00813E28"/>
    <w:rsid w:val="00871CA2"/>
    <w:rsid w:val="008A0B5B"/>
    <w:rsid w:val="008C3EEA"/>
    <w:rsid w:val="00993F82"/>
    <w:rsid w:val="009D3157"/>
    <w:rsid w:val="00A25321"/>
    <w:rsid w:val="00A7288D"/>
    <w:rsid w:val="00A86964"/>
    <w:rsid w:val="00A976DF"/>
    <w:rsid w:val="00AA5978"/>
    <w:rsid w:val="00B16708"/>
    <w:rsid w:val="00B211CC"/>
    <w:rsid w:val="00B23830"/>
    <w:rsid w:val="00B61C1E"/>
    <w:rsid w:val="00BA51ED"/>
    <w:rsid w:val="00BD2A83"/>
    <w:rsid w:val="00BE31AD"/>
    <w:rsid w:val="00C3205D"/>
    <w:rsid w:val="00C6486B"/>
    <w:rsid w:val="00CB1A1C"/>
    <w:rsid w:val="00D44BBF"/>
    <w:rsid w:val="00D45351"/>
    <w:rsid w:val="00DA0C5F"/>
    <w:rsid w:val="00DB5F1D"/>
    <w:rsid w:val="00DC2147"/>
    <w:rsid w:val="00E02B2C"/>
    <w:rsid w:val="00E25FF6"/>
    <w:rsid w:val="00E52A60"/>
    <w:rsid w:val="00E86DA2"/>
    <w:rsid w:val="00F313CE"/>
    <w:rsid w:val="00F60380"/>
    <w:rsid w:val="00F93C80"/>
    <w:rsid w:val="00FE6FE8"/>
    <w:rsid w:val="00FF40BA"/>
    <w:rsid w:val="00FF72B6"/>
    <w:rsid w:val="01E0373D"/>
    <w:rsid w:val="01F80173"/>
    <w:rsid w:val="02087C6A"/>
    <w:rsid w:val="02275712"/>
    <w:rsid w:val="04853848"/>
    <w:rsid w:val="053B6A4C"/>
    <w:rsid w:val="05663F59"/>
    <w:rsid w:val="05E40036"/>
    <w:rsid w:val="06C522D8"/>
    <w:rsid w:val="07247C28"/>
    <w:rsid w:val="07B96F86"/>
    <w:rsid w:val="07D433FC"/>
    <w:rsid w:val="082D49D0"/>
    <w:rsid w:val="087078F9"/>
    <w:rsid w:val="087163B1"/>
    <w:rsid w:val="09554C2F"/>
    <w:rsid w:val="09BD1840"/>
    <w:rsid w:val="09EF6C13"/>
    <w:rsid w:val="0D6C73FC"/>
    <w:rsid w:val="0DD53BFA"/>
    <w:rsid w:val="0EE46485"/>
    <w:rsid w:val="0FD95E7C"/>
    <w:rsid w:val="0FF353F0"/>
    <w:rsid w:val="105849BE"/>
    <w:rsid w:val="109E0A4B"/>
    <w:rsid w:val="127F665A"/>
    <w:rsid w:val="12D73380"/>
    <w:rsid w:val="13652027"/>
    <w:rsid w:val="139D64DC"/>
    <w:rsid w:val="159032D1"/>
    <w:rsid w:val="15D31197"/>
    <w:rsid w:val="15F64582"/>
    <w:rsid w:val="160904C2"/>
    <w:rsid w:val="16A1324F"/>
    <w:rsid w:val="1771106A"/>
    <w:rsid w:val="187B5F3B"/>
    <w:rsid w:val="188534D9"/>
    <w:rsid w:val="18F9734C"/>
    <w:rsid w:val="194A79C2"/>
    <w:rsid w:val="1A9571E6"/>
    <w:rsid w:val="1AF860C8"/>
    <w:rsid w:val="1B5F1244"/>
    <w:rsid w:val="1B685D31"/>
    <w:rsid w:val="1BB56A6F"/>
    <w:rsid w:val="1CAF0D0A"/>
    <w:rsid w:val="1D0B56BA"/>
    <w:rsid w:val="1D236038"/>
    <w:rsid w:val="1D6652A2"/>
    <w:rsid w:val="1D997488"/>
    <w:rsid w:val="1DB25B36"/>
    <w:rsid w:val="1DE66E3C"/>
    <w:rsid w:val="1E567A78"/>
    <w:rsid w:val="1F22560E"/>
    <w:rsid w:val="22C46383"/>
    <w:rsid w:val="22F517AC"/>
    <w:rsid w:val="23C476FF"/>
    <w:rsid w:val="24426D81"/>
    <w:rsid w:val="24590B05"/>
    <w:rsid w:val="24F13ACC"/>
    <w:rsid w:val="25580350"/>
    <w:rsid w:val="258131E1"/>
    <w:rsid w:val="26AB75C6"/>
    <w:rsid w:val="26C32B62"/>
    <w:rsid w:val="26F76DAC"/>
    <w:rsid w:val="279A3AA3"/>
    <w:rsid w:val="2A0E0598"/>
    <w:rsid w:val="2A806F39"/>
    <w:rsid w:val="2B1569A0"/>
    <w:rsid w:val="2B6D12EE"/>
    <w:rsid w:val="2C672AF3"/>
    <w:rsid w:val="2CCB160E"/>
    <w:rsid w:val="2CFD1020"/>
    <w:rsid w:val="2E426A62"/>
    <w:rsid w:val="2ED51684"/>
    <w:rsid w:val="31AC2EA0"/>
    <w:rsid w:val="31AF7E1C"/>
    <w:rsid w:val="31F50276"/>
    <w:rsid w:val="329F4B43"/>
    <w:rsid w:val="32C648C8"/>
    <w:rsid w:val="32C67B55"/>
    <w:rsid w:val="336F5157"/>
    <w:rsid w:val="340F1118"/>
    <w:rsid w:val="341E7629"/>
    <w:rsid w:val="3431735D"/>
    <w:rsid w:val="34D25803"/>
    <w:rsid w:val="34F414DD"/>
    <w:rsid w:val="361707D4"/>
    <w:rsid w:val="363E32A6"/>
    <w:rsid w:val="3885441B"/>
    <w:rsid w:val="391864AD"/>
    <w:rsid w:val="3A1A0742"/>
    <w:rsid w:val="3BB7220C"/>
    <w:rsid w:val="3BCA0263"/>
    <w:rsid w:val="3C88154B"/>
    <w:rsid w:val="3CB355BB"/>
    <w:rsid w:val="3D193084"/>
    <w:rsid w:val="3D6F0EF6"/>
    <w:rsid w:val="3DB2415B"/>
    <w:rsid w:val="3E0B0C1F"/>
    <w:rsid w:val="3E7A3E23"/>
    <w:rsid w:val="3E9929EC"/>
    <w:rsid w:val="3F6B17E4"/>
    <w:rsid w:val="3F8F3AD1"/>
    <w:rsid w:val="404B3E9C"/>
    <w:rsid w:val="40AF57B9"/>
    <w:rsid w:val="415D0244"/>
    <w:rsid w:val="42426BD9"/>
    <w:rsid w:val="42933B5E"/>
    <w:rsid w:val="42A453E2"/>
    <w:rsid w:val="42A55AD5"/>
    <w:rsid w:val="42D9753D"/>
    <w:rsid w:val="42E40B2C"/>
    <w:rsid w:val="43543068"/>
    <w:rsid w:val="436F02A0"/>
    <w:rsid w:val="450C093D"/>
    <w:rsid w:val="457E43CC"/>
    <w:rsid w:val="47A653CE"/>
    <w:rsid w:val="47D06E67"/>
    <w:rsid w:val="47E90E22"/>
    <w:rsid w:val="494F720F"/>
    <w:rsid w:val="4AC76815"/>
    <w:rsid w:val="4C804ECE"/>
    <w:rsid w:val="4D812CAB"/>
    <w:rsid w:val="4E305A25"/>
    <w:rsid w:val="4E7A2F6D"/>
    <w:rsid w:val="51775301"/>
    <w:rsid w:val="52427081"/>
    <w:rsid w:val="527A416D"/>
    <w:rsid w:val="52FD49B1"/>
    <w:rsid w:val="53E75832"/>
    <w:rsid w:val="55CC4CE0"/>
    <w:rsid w:val="56774E81"/>
    <w:rsid w:val="567862DE"/>
    <w:rsid w:val="56B07450"/>
    <w:rsid w:val="56F54120"/>
    <w:rsid w:val="5725639D"/>
    <w:rsid w:val="573E70AB"/>
    <w:rsid w:val="577962B5"/>
    <w:rsid w:val="583F79EB"/>
    <w:rsid w:val="58BC103B"/>
    <w:rsid w:val="58D3533C"/>
    <w:rsid w:val="5934390E"/>
    <w:rsid w:val="597C30C1"/>
    <w:rsid w:val="59E469AD"/>
    <w:rsid w:val="5B7C4AB2"/>
    <w:rsid w:val="5BE707AE"/>
    <w:rsid w:val="5E0A6B3C"/>
    <w:rsid w:val="5E600443"/>
    <w:rsid w:val="5E807DBD"/>
    <w:rsid w:val="5ECB0BEA"/>
    <w:rsid w:val="5EEB7FF5"/>
    <w:rsid w:val="5F934AD6"/>
    <w:rsid w:val="5FD2383A"/>
    <w:rsid w:val="606C5F4B"/>
    <w:rsid w:val="6178436E"/>
    <w:rsid w:val="61F62655"/>
    <w:rsid w:val="623D3660"/>
    <w:rsid w:val="62782C54"/>
    <w:rsid w:val="639707FB"/>
    <w:rsid w:val="63D356B7"/>
    <w:rsid w:val="64FA2DC2"/>
    <w:rsid w:val="662F2095"/>
    <w:rsid w:val="67A7444A"/>
    <w:rsid w:val="680E1188"/>
    <w:rsid w:val="68483A42"/>
    <w:rsid w:val="68630746"/>
    <w:rsid w:val="68E462CE"/>
    <w:rsid w:val="69331A2D"/>
    <w:rsid w:val="69CC30A8"/>
    <w:rsid w:val="6B43793D"/>
    <w:rsid w:val="6B563571"/>
    <w:rsid w:val="6BA17160"/>
    <w:rsid w:val="6BD3071E"/>
    <w:rsid w:val="6CC63631"/>
    <w:rsid w:val="6DF64B98"/>
    <w:rsid w:val="6E9F3BB8"/>
    <w:rsid w:val="6ED0363B"/>
    <w:rsid w:val="6F9720B7"/>
    <w:rsid w:val="6FBFD52B"/>
    <w:rsid w:val="70441BEA"/>
    <w:rsid w:val="704954CC"/>
    <w:rsid w:val="7145147D"/>
    <w:rsid w:val="71E01540"/>
    <w:rsid w:val="71E24330"/>
    <w:rsid w:val="7284190A"/>
    <w:rsid w:val="72A050D2"/>
    <w:rsid w:val="73017D4B"/>
    <w:rsid w:val="742F474F"/>
    <w:rsid w:val="74CD12F0"/>
    <w:rsid w:val="74D01104"/>
    <w:rsid w:val="759041EB"/>
    <w:rsid w:val="75BB2812"/>
    <w:rsid w:val="7647339F"/>
    <w:rsid w:val="76A96C4B"/>
    <w:rsid w:val="76D8308D"/>
    <w:rsid w:val="778E6E86"/>
    <w:rsid w:val="781E4C39"/>
    <w:rsid w:val="782A7918"/>
    <w:rsid w:val="78746DE5"/>
    <w:rsid w:val="78AE262D"/>
    <w:rsid w:val="79D84099"/>
    <w:rsid w:val="7A04063C"/>
    <w:rsid w:val="7A4D1E22"/>
    <w:rsid w:val="7B26788D"/>
    <w:rsid w:val="7B995DB6"/>
    <w:rsid w:val="7C492337"/>
    <w:rsid w:val="7C7C095E"/>
    <w:rsid w:val="7CE52871"/>
    <w:rsid w:val="7DFD6736"/>
    <w:rsid w:val="7E70004F"/>
    <w:rsid w:val="7E724636"/>
    <w:rsid w:val="7EB06B7D"/>
    <w:rsid w:val="7F2A4E0C"/>
    <w:rsid w:val="7FBE4DEA"/>
    <w:rsid w:val="B69F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960"/>
    </w:pPr>
  </w:style>
  <w:style w:type="paragraph" w:styleId="3">
    <w:name w:val="Body Text Indent"/>
    <w:basedOn w:val="1"/>
    <w:next w:val="4"/>
    <w:link w:val="12"/>
    <w:qFormat/>
    <w:uiPriority w:val="99"/>
    <w:pPr>
      <w:spacing w:line="400" w:lineRule="atLeast"/>
      <w:ind w:firstLine="480"/>
    </w:pPr>
    <w:rPr>
      <w:rFonts w:ascii="宋体" w:hAnsi="Times New Roman"/>
      <w:sz w:val="24"/>
      <w:szCs w:val="20"/>
    </w:rPr>
  </w:style>
  <w:style w:type="paragraph" w:styleId="4">
    <w:name w:val="Normal Indent"/>
    <w:basedOn w:val="1"/>
    <w:qFormat/>
    <w:uiPriority w:val="0"/>
    <w:pPr>
      <w:ind w:firstLine="200" w:firstLineChars="200"/>
    </w:pPr>
    <w:rPr>
      <w:rFonts w:eastAsia="仿宋"/>
      <w:sz w:val="32"/>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正文文本缩进 Char"/>
    <w:basedOn w:val="10"/>
    <w:link w:val="3"/>
    <w:qFormat/>
    <w:uiPriority w:val="99"/>
    <w:rPr>
      <w:rFonts w:ascii="宋体" w:cs="黑体"/>
      <w:kern w:val="2"/>
      <w:sz w:val="24"/>
    </w:rPr>
  </w:style>
  <w:style w:type="character" w:customStyle="1" w:styleId="13">
    <w:name w:val="页眉 Char"/>
    <w:basedOn w:val="10"/>
    <w:link w:val="6"/>
    <w:qFormat/>
    <w:uiPriority w:val="99"/>
    <w:rPr>
      <w:rFonts w:ascii="Calibri" w:hAnsi="Calibri" w:cs="黑体"/>
      <w:kern w:val="2"/>
      <w:sz w:val="18"/>
      <w:szCs w:val="18"/>
    </w:rPr>
  </w:style>
  <w:style w:type="character" w:customStyle="1" w:styleId="14">
    <w:name w:val="页脚 Char"/>
    <w:basedOn w:val="10"/>
    <w:link w:val="5"/>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10416</Words>
  <Characters>10733</Characters>
  <Lines>17</Lines>
  <Paragraphs>5</Paragraphs>
  <TotalTime>3</TotalTime>
  <ScaleCrop>false</ScaleCrop>
  <LinksUpToDate>false</LinksUpToDate>
  <CharactersWithSpaces>10786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2022-05-06T00:27:00Z</dcterms:created>
  <dc:creator>User</dc:creator>
  <cp:lastModifiedBy>Administrator</cp:lastModifiedBy>
  <cp:lastPrinted>2022-07-26T07:57:00Z</cp:lastPrinted>
  <dcterms:modified xsi:type="dcterms:W3CDTF">2024-10-22T08:11:00Z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8197120176524931A94774F12C4D9315</vt:lpwstr>
  </property>
</Properties>
</file>