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80" w:after="480" w:line="70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四平市审计局2025年</w:t>
      </w:r>
      <w:r>
        <w:rPr>
          <w:rFonts w:hint="default" w:ascii="方正小标宋简体" w:hAnsi="方正小标宋简体" w:eastAsia="方正小标宋简体" w:cs="方正小标宋简体"/>
          <w:b w:val="0"/>
          <w:bCs/>
          <w:sz w:val="44"/>
          <w:szCs w:val="44"/>
          <w:lang w:val="en-US"/>
        </w:rPr>
        <w:t xml:space="preserve"> </w:t>
      </w:r>
      <w:r>
        <w:rPr>
          <w:rFonts w:hint="eastAsia" w:ascii="方正小标宋简体" w:hAnsi="方正小标宋简体" w:eastAsia="方正小标宋简体" w:cs="方正小标宋简体"/>
          <w:b w:val="0"/>
          <w:bCs/>
          <w:sz w:val="44"/>
          <w:szCs w:val="44"/>
          <w:lang w:val="en-US" w:eastAsia="zh-CN"/>
        </w:rPr>
        <w:t xml:space="preserve"> </w:t>
      </w:r>
      <w:r>
        <w:rPr>
          <w:rFonts w:hint="default"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政府信息公开工作年度报告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sz w:val="32"/>
          <w:szCs w:val="32"/>
        </w:rPr>
      </w:pPr>
      <w:r>
        <w:rPr>
          <w:rFonts w:hint="eastAsia" w:ascii="仿宋_GB2312" w:hAnsi="仿宋_GB2312" w:eastAsia="仿宋_GB2312" w:cs="仿宋_GB2312"/>
          <w:sz w:val="32"/>
          <w:szCs w:val="32"/>
        </w:rPr>
        <w:t>根据《中华人民共和国政府信息公开条例》（国务院令711号，以下简称《条例》）规定，特向社会公布2025年四平市审计局政府信息公开年度报告。按照《四平市人民政府办公室关于做好2025年度政府信息公开工作报告的编制公布工作有关事宜的通知》要求，本报告由“总体情况”“主动公开政府信息情况”“收到和处理政府信息公开申请情况”“政府信息公开行政复议、行政诉讼情况”“存在问题”</w:t>
      </w:r>
      <w:r>
        <w:rPr>
          <w:rFonts w:hint="eastAsia" w:ascii="仿宋_GB2312" w:hAnsi="仿宋_GB2312" w:eastAsia="仿宋_GB2312" w:cs="仿宋_GB2312"/>
          <w:sz w:val="32"/>
          <w:szCs w:val="32"/>
          <w:lang w:eastAsia="zh-CN"/>
        </w:rPr>
        <w:t>“下一步工作打算”</w:t>
      </w:r>
      <w:r>
        <w:rPr>
          <w:rFonts w:hint="eastAsia" w:ascii="仿宋_GB2312" w:hAnsi="仿宋_GB2312" w:eastAsia="仿宋_GB2312" w:cs="仿宋_GB2312"/>
          <w:sz w:val="32"/>
          <w:szCs w:val="32"/>
        </w:rPr>
        <w:t>“其他需要报告的</w:t>
      </w:r>
      <w:r>
        <w:rPr>
          <w:rFonts w:hint="eastAsia" w:ascii="仿宋_GB2312" w:hAnsi="仿宋_GB2312" w:eastAsia="仿宋_GB2312" w:cs="仿宋_GB2312"/>
          <w:sz w:val="32"/>
          <w:szCs w:val="32"/>
          <w:lang w:eastAsia="zh-CN"/>
        </w:rPr>
        <w:t>事</w:t>
      </w:r>
      <w:r>
        <w:rPr>
          <w:rFonts w:hint="eastAsia" w:ascii="仿宋_GB2312" w:hAnsi="仿宋_GB2312" w:eastAsia="仿宋_GB2312" w:cs="仿宋_GB2312"/>
          <w:sz w:val="32"/>
          <w:szCs w:val="32"/>
        </w:rPr>
        <w:t>项”等</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个部分组成。报告所列数据统计期限为2025年1月1日至2025年12月31日，电子版可在四平市人民政府门户网站查阅或下载。如对本年度报告有任何疑问，请与四平市审计局办公室取得联系。联系电话：</w:t>
      </w:r>
      <w:r>
        <w:rPr>
          <w:rFonts w:hint="eastAsia" w:ascii="仿宋_GB2312" w:hAnsi="仿宋_GB2312" w:eastAsia="仿宋_GB2312" w:cs="仿宋_GB2312"/>
          <w:sz w:val="32"/>
          <w:szCs w:val="32"/>
          <w:lang w:val="en-US" w:eastAsia="zh-CN"/>
        </w:rPr>
        <w:t>0434-3211288</w:t>
      </w:r>
      <w:r>
        <w:rPr>
          <w:rFonts w:hint="eastAsia" w:ascii="仿宋_GB2312" w:hAnsi="仿宋_GB2312" w:eastAsia="仿宋_GB2312" w:cs="仿宋_GB2312"/>
          <w:sz w:val="32"/>
          <w:szCs w:val="32"/>
        </w:rPr>
        <w:t>，传真：0434-3211277，地址：四平市铁西区英雄大桥西侧四平市审计局，邮编：136000。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一、总体情况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2025年，四平市审计局坚持以习近平新时代中国特色社会主义思想为指导，全面贯彻落实党的三中全会、四中全会精神及习近平总书记关于东北全面振兴、吉林工作和审计工作系列重要指示精神，按照市委、市政府部署要求，紧扣省审计厅“科学规范提升年”行动部署，认真落实《2025年吉林省政务公开工作要点》及四平市相关工作安排，持续加大政务公开法治化、标准化、规范化建设力度，精准对接社会公众对审计工作的关注关切，重点围绕年度市本级预算执行及其他财政收支情况审计等重点领域强化信息公开，依法保障人民群众知情权、参与权、表达权和监督权，不断提升审计工作透明度和公信力，为四平全面振兴全方位振兴提供坚实审计保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（一）强化政府信息公开组织领导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局主要领导高度重视政府信息公开工作，将其纳入年度重点工作和“科学规范提升年”行动统筹推进，定期听取工作情况汇报，研究解决工作中的难点问题。分管局领导担任政务公开工作领导小组组长，牵头负责全局政务公开组织领导工作，结合“科学规范提升年”行动要求，明确各科（室）、中心职责分工，细化任务清单，形成“主要领导亲自抓、分管领导具体抓、各科（室）、中心协同配合”的工作格局。进一步规范政务公开申请接收、登记、办理、审核、答复、归档全流程工作机制，结合审计工作规范化要求优化申请答复文书标准化模板，严格落实审核把关制度，确保依法依规、精准规范做好答复工作。加强政务公开常态化管理，有序推进政务公开标准化建设，聚焦审计主责主业和群众关切提升公开信息质量，切实提高政务公开工作“含金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（二）深化推进政府信息主动公开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聚焦群众关注的焦点热点问题，精准对接社会需求，主动公开《四平市人民政府关于2024年度市级预算执行和其他财政收支的审计工作报告》《四平市人民政府关于2024年度市级预算执行和其他财政收支审计查出问题整改情况的报告》等核心审计结果公告，阐释审计重点、整改举措及工作成效，增进社会公众对审计工作的理解与支持。加强与市档案馆查阅利用中心的沟通协作，严格按照要求完成2025年度信息公开原始文件的收集、整理、归档及报送工作，保障公众线下查阅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（三）推进依申请公开规范处理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严格遵循《中华人民共和国政府信息公开条例》要求，结合“科学规范提升年”行动中流程规范要求，进一步优化政府信息公开申请办理流程，明确办理时限、工作标准和责任主体，依法保障社会公众合理信息需求。加强与申请人的沟通对接，对申请内容进行精准研判，对于已公开的政府信息，详细告知获取途径和查询方式；对于本机关不掌握的相关信息，耐心做好解释说明，稳妥引导申请人合理表达诉求。</w:t>
      </w:r>
      <w:r>
        <w:rPr>
          <w:rFonts w:hint="eastAsia" w:ascii="仿宋_GB2312" w:hAnsi="仿宋_GB2312" w:eastAsia="仿宋_GB2312" w:cs="仿宋_GB2312"/>
          <w:sz w:val="32"/>
          <w:szCs w:val="32"/>
        </w:rPr>
        <w:t>规范公开组织机构、财政预算决算等基础信息，全年通过政府信息公开基础平台主动公开各类文件信息1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条，切实提升审计工作透明度。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（四）加强政府信息公开平台建设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以提升服务效能为目标，加强门户网站内容建设与管理，结合审计重点工作优化栏目设置，完善检索功能，对政务公开、审计动态、政策文件等重点栏目进行梳理整合，提升信息查找的便捷性。持续强化网站内容更新审核机制，确保发布信息准确、及时、权威。常态化开展政务网站巡查维护和安全检测，及时排查清理无效信息、错误链接和敏感信息，健全网络安全应急预案，确保政府信息公开平台安全平稳运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（五）做好政府信息公开基础工作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深入学习贯彻《中华人民共和国政府信息公开条例》及上级相关工作要求，将政府信息公开工作纳入全局年度培训计划，结合“科学规范提升年”行动，组织开展专题培训1次，覆盖全体干部职工，重点讲解公开范围、工作流程、答复规范及保密要求等内容，着力提升工作人员业务能力。主动接受市政府办公室政务公开工作主管部门的日常指导和监督检查，严格按照要求开展政府信息公开年度总结工作，及时完成年度报告编制并按规定在部门专栏公开，自觉接受社会公众监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rPr>
        <w:t>主动公开政府信息情况</w:t>
      </w:r>
    </w:p>
    <w:tbl>
      <w:tblPr>
        <w:tblStyle w:val="8"/>
        <w:tblW w:w="9014" w:type="dxa"/>
        <w:jc w:val="center"/>
        <w:tblInd w:w="0" w:type="dxa"/>
        <w:tblLayout w:type="fixed"/>
        <w:tblCellMar>
          <w:top w:w="0" w:type="dxa"/>
          <w:left w:w="0" w:type="dxa"/>
          <w:bottom w:w="0" w:type="dxa"/>
          <w:right w:w="0" w:type="dxa"/>
        </w:tblCellMar>
      </w:tblPr>
      <w:tblGrid>
        <w:gridCol w:w="2461"/>
        <w:gridCol w:w="2184"/>
        <w:gridCol w:w="2184"/>
        <w:gridCol w:w="2185"/>
      </w:tblGrid>
      <w:tr>
        <w:tblPrEx>
          <w:tblLayout w:type="fixed"/>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第二十条第（一）项</w:t>
            </w:r>
          </w:p>
        </w:tc>
      </w:tr>
      <w:tr>
        <w:tblPrEx>
          <w:tblLayout w:type="fixed"/>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信息内容</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本年废止件数</w:t>
            </w:r>
          </w:p>
        </w:tc>
        <w:tc>
          <w:tcPr>
            <w:tcW w:w="218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现行有效件数</w:t>
            </w:r>
          </w:p>
        </w:tc>
      </w:tr>
      <w:tr>
        <w:tblPrEx>
          <w:tblLayout w:type="fixed"/>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规章</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218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Layout w:type="fixed"/>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行政规范性文件</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218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Layout w:type="fixed"/>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第二十条第（五）项</w:t>
            </w:r>
          </w:p>
        </w:tc>
      </w:tr>
      <w:tr>
        <w:tblPrEx>
          <w:tblLayout w:type="fixed"/>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信息内容</w:t>
            </w:r>
          </w:p>
        </w:tc>
        <w:tc>
          <w:tcPr>
            <w:tcW w:w="6553"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本年处理决定数量</w:t>
            </w:r>
          </w:p>
        </w:tc>
      </w:tr>
      <w:tr>
        <w:tblPrEx>
          <w:tblLayout w:type="fixed"/>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行政许可</w:t>
            </w:r>
          </w:p>
        </w:tc>
        <w:tc>
          <w:tcPr>
            <w:tcW w:w="6553"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Layout w:type="fixed"/>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4" w:space="0"/>
              <w:right w:val="single" w:color="auto" w:sz="8" w:space="0"/>
            </w:tcBorders>
            <w:shd w:val="clear" w:color="auto" w:fill="C6D9F1"/>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第二十条第（六）项</w:t>
            </w:r>
          </w:p>
        </w:tc>
      </w:tr>
      <w:tr>
        <w:tblPrEx>
          <w:tblLayout w:type="fixed"/>
          <w:tblCellMar>
            <w:top w:w="0" w:type="dxa"/>
            <w:left w:w="0" w:type="dxa"/>
            <w:bottom w:w="0" w:type="dxa"/>
            <w:right w:w="0" w:type="dxa"/>
          </w:tblCellMar>
        </w:tblPrEx>
        <w:trPr>
          <w:trHeight w:val="431" w:hRule="atLeast"/>
          <w:jc w:val="center"/>
        </w:trPr>
        <w:tc>
          <w:tcPr>
            <w:tcW w:w="246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信息内容</w:t>
            </w:r>
          </w:p>
        </w:tc>
        <w:tc>
          <w:tcPr>
            <w:tcW w:w="6553"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本年处理决定数量</w:t>
            </w:r>
          </w:p>
        </w:tc>
      </w:tr>
      <w:tr>
        <w:tblPrEx>
          <w:tblLayout w:type="fixed"/>
          <w:tblCellMar>
            <w:top w:w="0" w:type="dxa"/>
            <w:left w:w="0" w:type="dxa"/>
            <w:bottom w:w="0" w:type="dxa"/>
            <w:right w:w="0" w:type="dxa"/>
          </w:tblCellMar>
        </w:tblPrEx>
        <w:trPr>
          <w:trHeight w:val="430" w:hRule="atLeast"/>
          <w:jc w:val="center"/>
        </w:trPr>
        <w:tc>
          <w:tcPr>
            <w:tcW w:w="2461"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行政处罚</w:t>
            </w:r>
          </w:p>
        </w:tc>
        <w:tc>
          <w:tcPr>
            <w:tcW w:w="6553" w:type="dxa"/>
            <w:gridSpan w:val="3"/>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Layout w:type="fixed"/>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行政强制</w:t>
            </w:r>
          </w:p>
        </w:tc>
        <w:tc>
          <w:tcPr>
            <w:tcW w:w="6553"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Layout w:type="fixed"/>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第二十条第（八）项</w:t>
            </w:r>
          </w:p>
        </w:tc>
      </w:tr>
      <w:tr>
        <w:tblPrEx>
          <w:tblLayout w:type="fixed"/>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信息内容</w:t>
            </w:r>
          </w:p>
        </w:tc>
        <w:tc>
          <w:tcPr>
            <w:tcW w:w="6553"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本年收费金额（单位：万元）</w:t>
            </w:r>
          </w:p>
        </w:tc>
      </w:tr>
      <w:tr>
        <w:tblPrEx>
          <w:tblLayout w:type="fixed"/>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行政事业性收费</w:t>
            </w:r>
          </w:p>
        </w:tc>
        <w:tc>
          <w:tcPr>
            <w:tcW w:w="6553"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bl>
    <w:p>
      <w:pPr>
        <w:keepNext w:val="0"/>
        <w:keepLines w:val="0"/>
        <w:pageBreakBefore w:val="0"/>
        <w:numPr>
          <w:ilvl w:val="0"/>
          <w:numId w:val="0"/>
        </w:numPr>
        <w:tabs>
          <w:tab w:val="left" w:pos="577"/>
        </w:tabs>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收到和处理政府信息公开申请情况</w:t>
      </w:r>
    </w:p>
    <w:tbl>
      <w:tblPr>
        <w:tblStyle w:val="9"/>
        <w:tblW w:w="90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15"/>
        <w:gridCol w:w="2651"/>
        <w:gridCol w:w="685"/>
        <w:gridCol w:w="696"/>
        <w:gridCol w:w="729"/>
        <w:gridCol w:w="707"/>
        <w:gridCol w:w="762"/>
        <w:gridCol w:w="685"/>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4119" w:type="dxa"/>
            <w:gridSpan w:val="3"/>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lang w:bidi="ar"/>
              </w:rPr>
              <w:t>（本列数据的勾稽关系为：第一项加第二项之和，等于第三项加第四项之和）</w:t>
            </w:r>
          </w:p>
        </w:tc>
        <w:tc>
          <w:tcPr>
            <w:tcW w:w="4895" w:type="dxa"/>
            <w:gridSpan w:val="7"/>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4119" w:type="dxa"/>
            <w:gridSpan w:val="3"/>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685"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lang w:bidi="ar"/>
              </w:rPr>
              <w:t>自然人</w:t>
            </w:r>
          </w:p>
        </w:tc>
        <w:tc>
          <w:tcPr>
            <w:tcW w:w="3579" w:type="dxa"/>
            <w:gridSpan w:val="5"/>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lang w:bidi="ar"/>
              </w:rPr>
              <w:t>法人或其他组织</w:t>
            </w:r>
          </w:p>
        </w:tc>
        <w:tc>
          <w:tcPr>
            <w:tcW w:w="631"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9" w:type="dxa"/>
            <w:gridSpan w:val="3"/>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685"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商业企业</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科研机构</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社会公益组织</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法律服务机构</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其他</w:t>
            </w:r>
          </w:p>
        </w:tc>
        <w:tc>
          <w:tcPr>
            <w:tcW w:w="631"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4119" w:type="dxa"/>
            <w:gridSpan w:val="3"/>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一、本年新收政府信息公开申请数量</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4119" w:type="dxa"/>
            <w:gridSpan w:val="3"/>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二、上年结转政府信息公开申请数量</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653" w:type="dxa"/>
            <w:vMerge w:val="restart"/>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lang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lang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lang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lang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lang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lang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lang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lang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lang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lang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lang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lang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0"/>
                <w:sz w:val="32"/>
                <w:szCs w:val="32"/>
                <w:lang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lang w:bidi="ar"/>
              </w:rPr>
              <w:t>三、本年度办理结果</w:t>
            </w:r>
          </w:p>
        </w:tc>
        <w:tc>
          <w:tcPr>
            <w:tcW w:w="3466" w:type="dxa"/>
            <w:gridSpan w:val="2"/>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（一）予以公开</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3466" w:type="dxa"/>
            <w:gridSpan w:val="2"/>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（二）部分公开（区分处理的，只计这一情形，不计其他情形）</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lang w:bidi="ar"/>
              </w:rPr>
              <w:t>（三）不予公开</w:t>
            </w: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1.属于国家秘密</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2.其他法律行政法规禁止公开</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3.危及“三安全一稳定”</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4.保护第三方合法权益</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5.属于三类内部事务信息</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6.属于四类过程性信息</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7.属于行政执法案卷</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8.属于行政查询事项</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lang w:bidi="ar"/>
              </w:rPr>
              <w:t>（四）无法提供</w:t>
            </w: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1.本机关不掌握相关政府信息</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2.没有现成信息需要另行制作</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tabs>
                <w:tab w:val="left" w:pos="420"/>
              </w:tabs>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3.补正后申请内容仍不明确</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lang w:bidi="ar"/>
              </w:rPr>
              <w:t>（五）不予处理</w:t>
            </w: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lang w:bidi="ar"/>
              </w:rPr>
              <w:t>1.信访举报投诉类申请</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lang w:bidi="ar"/>
              </w:rPr>
              <w:t>2.重复申请</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lang w:bidi="ar"/>
              </w:rPr>
              <w:t>3.要求提供公开出版物</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lang w:bidi="ar"/>
              </w:rPr>
              <w:t>4.无正当理由大量反复申请</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continue"/>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lang w:bidi="ar"/>
              </w:rPr>
              <w:t>5.要求行政机关确认或重新出具已获取信息</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lang w:bidi="ar"/>
              </w:rPr>
              <w:t>（六）其他处理</w:t>
            </w: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1.申请人无正当理由逾期不补正、行政机关不再处理其政府信息公开申请</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2.申请人逾期未按收费通知要求缴纳费用、行政机关不再处理其政府信息公开申请</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815"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265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3.其他</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653" w:type="dxa"/>
            <w:vMerge w:val="continue"/>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p>
        </w:tc>
        <w:tc>
          <w:tcPr>
            <w:tcW w:w="3466" w:type="dxa"/>
            <w:gridSpan w:val="2"/>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lang w:bidi="ar"/>
              </w:rPr>
              <w:t>（七）总计</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0</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4119" w:type="dxa"/>
            <w:gridSpan w:val="3"/>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lang w:bidi="ar"/>
              </w:rPr>
              <w:t>四、结转下年度继续办理</w:t>
            </w:r>
          </w:p>
        </w:tc>
        <w:tc>
          <w:tcPr>
            <w:tcW w:w="68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2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0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85" w:type="dxa"/>
            <w:vAlign w:val="center"/>
          </w:tcPr>
          <w:p>
            <w:pPr>
              <w:keepNext w:val="0"/>
              <w:keepLines w:val="0"/>
              <w:pageBreakBefore w:val="0"/>
              <w:widowControl/>
              <w:tabs>
                <w:tab w:val="left" w:pos="212"/>
              </w:tabs>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ab/>
            </w:r>
            <w:r>
              <w:rPr>
                <w:rFonts w:hint="eastAsia" w:ascii="仿宋_GB2312" w:hAnsi="仿宋_GB2312" w:eastAsia="仿宋_GB2312" w:cs="仿宋_GB2312"/>
                <w:kern w:val="0"/>
                <w:sz w:val="32"/>
                <w:szCs w:val="32"/>
                <w:lang w:val="en-US" w:eastAsia="zh-CN"/>
              </w:rPr>
              <w:t>0</w:t>
            </w:r>
          </w:p>
        </w:tc>
        <w:tc>
          <w:tcPr>
            <w:tcW w:w="6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bl>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四、</w:t>
      </w:r>
      <w:r>
        <w:rPr>
          <w:rFonts w:hint="eastAsia" w:ascii="方正黑体_GBK" w:hAnsi="方正黑体_GBK" w:eastAsia="方正黑体_GBK" w:cs="方正黑体_GBK"/>
          <w:b w:val="0"/>
          <w:bCs w:val="0"/>
          <w:sz w:val="32"/>
          <w:szCs w:val="32"/>
        </w:rPr>
        <w:t>政府信息公开行政复议、行政诉讼情况</w:t>
      </w:r>
    </w:p>
    <w:tbl>
      <w:tblPr>
        <w:tblStyle w:val="8"/>
        <w:tblW w:w="9071" w:type="dxa"/>
        <w:jc w:val="center"/>
        <w:tblInd w:w="0" w:type="dxa"/>
        <w:tblLayout w:type="fixed"/>
        <w:tblCellMar>
          <w:top w:w="0" w:type="dxa"/>
          <w:left w:w="0" w:type="dxa"/>
          <w:bottom w:w="0" w:type="dxa"/>
          <w:right w:w="0" w:type="dxa"/>
        </w:tblCellMar>
      </w:tblPr>
      <w:tblGrid>
        <w:gridCol w:w="599"/>
        <w:gridCol w:w="599"/>
        <w:gridCol w:w="599"/>
        <w:gridCol w:w="606"/>
        <w:gridCol w:w="600"/>
        <w:gridCol w:w="629"/>
        <w:gridCol w:w="600"/>
        <w:gridCol w:w="600"/>
        <w:gridCol w:w="618"/>
        <w:gridCol w:w="600"/>
        <w:gridCol w:w="600"/>
        <w:gridCol w:w="600"/>
        <w:gridCol w:w="607"/>
        <w:gridCol w:w="600"/>
        <w:gridCol w:w="614"/>
      </w:tblGrid>
      <w:tr>
        <w:tblPrEx>
          <w:tblLayout w:type="fixed"/>
          <w:tblCellMar>
            <w:top w:w="0" w:type="dxa"/>
            <w:left w:w="0" w:type="dxa"/>
            <w:bottom w:w="0" w:type="dxa"/>
            <w:right w:w="0" w:type="dxa"/>
          </w:tblCellMar>
        </w:tblPrEx>
        <w:trPr>
          <w:jc w:val="center"/>
        </w:trPr>
        <w:tc>
          <w:tcPr>
            <w:tcW w:w="300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行政复议</w:t>
            </w:r>
          </w:p>
        </w:tc>
        <w:tc>
          <w:tcPr>
            <w:tcW w:w="6068"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行政诉讼</w:t>
            </w:r>
          </w:p>
        </w:tc>
      </w:tr>
      <w:tr>
        <w:tblPrEx>
          <w:tblLayout w:type="fixed"/>
          <w:tblCellMar>
            <w:top w:w="0" w:type="dxa"/>
            <w:left w:w="0" w:type="dxa"/>
            <w:bottom w:w="0" w:type="dxa"/>
            <w:right w:w="0" w:type="dxa"/>
          </w:tblCellMar>
        </w:tblPrEx>
        <w:trPr>
          <w:jc w:val="center"/>
        </w:trPr>
        <w:tc>
          <w:tcPr>
            <w:tcW w:w="59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结果维持</w:t>
            </w:r>
          </w:p>
        </w:tc>
        <w:tc>
          <w:tcPr>
            <w:tcW w:w="59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结果纠正</w:t>
            </w:r>
          </w:p>
        </w:tc>
        <w:tc>
          <w:tcPr>
            <w:tcW w:w="599"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其他结果</w:t>
            </w:r>
          </w:p>
        </w:tc>
        <w:tc>
          <w:tcPr>
            <w:tcW w:w="60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尚未审结</w:t>
            </w:r>
          </w:p>
        </w:tc>
        <w:tc>
          <w:tcPr>
            <w:tcW w:w="60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总计</w:t>
            </w:r>
          </w:p>
        </w:tc>
        <w:tc>
          <w:tcPr>
            <w:tcW w:w="304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未经复议直接起诉</w:t>
            </w:r>
          </w:p>
        </w:tc>
        <w:tc>
          <w:tcPr>
            <w:tcW w:w="3021"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复议后起诉</w:t>
            </w:r>
          </w:p>
        </w:tc>
      </w:tr>
      <w:tr>
        <w:tblPrEx>
          <w:tblLayout w:type="fixed"/>
          <w:tblCellMar>
            <w:top w:w="0" w:type="dxa"/>
            <w:left w:w="0" w:type="dxa"/>
            <w:bottom w:w="0" w:type="dxa"/>
            <w:right w:w="0" w:type="dxa"/>
          </w:tblCellMar>
        </w:tblPrEx>
        <w:trPr>
          <w:jc w:val="center"/>
        </w:trPr>
        <w:tc>
          <w:tcPr>
            <w:tcW w:w="599"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rPr>
            </w:pPr>
          </w:p>
        </w:tc>
        <w:tc>
          <w:tcPr>
            <w:tcW w:w="599" w:type="dxa"/>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rPr>
            </w:pPr>
          </w:p>
        </w:tc>
        <w:tc>
          <w:tcPr>
            <w:tcW w:w="599" w:type="dxa"/>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rPr>
            </w:pPr>
          </w:p>
        </w:tc>
        <w:tc>
          <w:tcPr>
            <w:tcW w:w="606" w:type="dxa"/>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rPr>
            </w:pPr>
          </w:p>
        </w:tc>
        <w:tc>
          <w:tcPr>
            <w:tcW w:w="600" w:type="dxa"/>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rPr>
            </w:pPr>
          </w:p>
        </w:tc>
        <w:tc>
          <w:tcPr>
            <w:tcW w:w="62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结果维持</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结果纠正</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其他结果</w:t>
            </w:r>
          </w:p>
        </w:tc>
        <w:tc>
          <w:tcPr>
            <w:tcW w:w="6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尚未审结</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总计</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结果维持</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结果纠正</w:t>
            </w:r>
          </w:p>
        </w:tc>
        <w:tc>
          <w:tcPr>
            <w:tcW w:w="60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其他结果</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尚未审结</w:t>
            </w:r>
          </w:p>
        </w:tc>
        <w:tc>
          <w:tcPr>
            <w:tcW w:w="6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总计</w:t>
            </w:r>
          </w:p>
        </w:tc>
      </w:tr>
      <w:tr>
        <w:tblPrEx>
          <w:tblLayout w:type="fixed"/>
          <w:tblCellMar>
            <w:top w:w="0" w:type="dxa"/>
            <w:left w:w="0" w:type="dxa"/>
            <w:bottom w:w="0" w:type="dxa"/>
            <w:right w:w="0" w:type="dxa"/>
          </w:tblCellMar>
        </w:tblPrEx>
        <w:trPr>
          <w:trHeight w:val="697" w:hRule="atLeast"/>
          <w:jc w:val="center"/>
        </w:trPr>
        <w:tc>
          <w:tcPr>
            <w:tcW w:w="5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59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59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2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1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61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bl>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方正黑体_GBK" w:hAnsi="方正黑体_GBK" w:eastAsia="方正黑体_GBK" w:cs="方正黑体_GBK"/>
          <w:b w:val="0"/>
          <w:bCs w:val="0"/>
          <w:sz w:val="32"/>
          <w:szCs w:val="32"/>
        </w:rPr>
      </w:pPr>
      <w:bookmarkStart w:id="0" w:name="heading_1"/>
      <w:r>
        <w:rPr>
          <w:rFonts w:hint="eastAsia" w:ascii="方正黑体_GBK" w:hAnsi="方正黑体_GBK" w:eastAsia="方正黑体_GBK" w:cs="方正黑体_GBK"/>
          <w:b w:val="0"/>
          <w:bCs w:val="0"/>
          <w:sz w:val="32"/>
          <w:szCs w:val="32"/>
        </w:rPr>
        <w:t>五、存在的问题</w:t>
      </w:r>
      <w:bookmarkEnd w:id="0"/>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bookmarkStart w:id="1" w:name="heading_2"/>
      <w:r>
        <w:rPr>
          <w:rFonts w:hint="eastAsia" w:ascii="楷体_GB2312" w:hAnsi="楷体_GB2312" w:eastAsia="楷体_GB2312" w:cs="楷体_GB2312"/>
          <w:kern w:val="0"/>
          <w:sz w:val="32"/>
          <w:szCs w:val="32"/>
          <w:lang w:val="en-US" w:eastAsia="zh-CN" w:bidi="ar"/>
        </w:rPr>
        <w:t>（一）公开内容深度不够。</w:t>
      </w:r>
      <w:r>
        <w:rPr>
          <w:rFonts w:hint="eastAsia" w:ascii="仿宋_GB2312" w:hAnsi="仿宋_GB2312" w:eastAsia="仿宋_GB2312" w:cs="仿宋_GB2312"/>
          <w:kern w:val="0"/>
          <w:sz w:val="32"/>
          <w:szCs w:val="32"/>
          <w:lang w:val="en-US" w:eastAsia="zh-CN" w:bidi="ar"/>
        </w:rPr>
        <w:t>当前信息公开多集中于审计结果公告、工作动态等基础层面，针对群众关切的信息化系统审计、国有资产监管等重点领域，缺乏更细致的解读分析和过程性信息披露，公开内容的实用性、针对性有待进一步提升。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（二）公开形式创新性欠缺。</w:t>
      </w:r>
      <w:r>
        <w:rPr>
          <w:rFonts w:hint="eastAsia" w:ascii="仿宋_GB2312" w:hAnsi="仿宋_GB2312" w:eastAsia="仿宋_GB2312" w:cs="仿宋_GB2312"/>
          <w:kern w:val="0"/>
          <w:sz w:val="32"/>
          <w:szCs w:val="32"/>
          <w:lang w:val="en-US" w:eastAsia="zh-CN" w:bidi="ar"/>
        </w:rPr>
        <w:t>信息发布仍以文字类信息为主，借助图文等形式开展政策解读的频次较少，解读形式较为单一，难以充分适应不同群体的信息获取习惯，信息传播的感染力和覆盖面有限。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（三）工作专业能力有待加强。</w:t>
      </w:r>
      <w:r>
        <w:rPr>
          <w:rFonts w:hint="eastAsia" w:ascii="仿宋_GB2312" w:hAnsi="仿宋_GB2312" w:eastAsia="仿宋_GB2312" w:cs="仿宋_GB2312"/>
          <w:kern w:val="0"/>
          <w:sz w:val="32"/>
          <w:szCs w:val="32"/>
          <w:lang w:val="en-US" w:eastAsia="zh-CN" w:bidi="ar"/>
        </w:rPr>
        <w:t>部分工作人员对政府信息公开条例的理解不够深入，在公开范围界定、敏感信息甄别、复杂申请答复等方面的业务能力需加强，难以完全满足新形势下政务公开工作的规范化要求。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六、下一步工作打算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（一）深化公开内容，提升信息质量。</w:t>
      </w:r>
      <w:r>
        <w:rPr>
          <w:rFonts w:hint="eastAsia" w:ascii="仿宋_GB2312" w:hAnsi="仿宋_GB2312" w:eastAsia="仿宋_GB2312" w:cs="仿宋_GB2312"/>
          <w:kern w:val="0"/>
          <w:sz w:val="32"/>
          <w:szCs w:val="32"/>
          <w:lang w:val="en-US" w:eastAsia="zh-CN" w:bidi="ar"/>
        </w:rPr>
        <w:t>聚焦审计主责主业和群众关切，围绕信息化系统审计、国有资产清理规范、年度市本级预算执行及其他财政收支情况审计等重点领域，进一步细化公开清单，增加过程性信息和解读类内容的披露，重点梳理公开信息与群众生产生活的关联点，提升公开内容的精准性和实用性。建立公开内容审核把关长效机制，确保公开信息真实、准确、完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（二）创新公开形式，拓宽传播渠道。</w:t>
      </w:r>
      <w:r>
        <w:rPr>
          <w:rFonts w:hint="eastAsia" w:ascii="仿宋_GB2312" w:hAnsi="仿宋_GB2312" w:eastAsia="仿宋_GB2312" w:cs="仿宋_GB2312"/>
          <w:kern w:val="0"/>
          <w:sz w:val="32"/>
          <w:szCs w:val="32"/>
          <w:lang w:val="en-US" w:eastAsia="zh-CN" w:bidi="ar"/>
        </w:rPr>
        <w:t>加强门户网站与新媒体平台的联动协同，优化信息发布流程，实现重要信息多渠道同步推送，扩大信息传播覆盖面。探索建立线上互动交流机制，及时回应群众关切，提升公众参与度。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（三）强化能力建设，夯实工作基础。</w:t>
      </w:r>
      <w:r>
        <w:rPr>
          <w:rFonts w:hint="eastAsia" w:ascii="仿宋_GB2312" w:hAnsi="仿宋_GB2312" w:eastAsia="仿宋_GB2312" w:cs="仿宋_GB2312"/>
          <w:kern w:val="0"/>
          <w:sz w:val="32"/>
          <w:szCs w:val="32"/>
          <w:lang w:val="en-US" w:eastAsia="zh-CN" w:bidi="ar"/>
        </w:rPr>
        <w:t>进一步加强培训，聚焦审计法规、公文处理、后勤保障等核心业务，精准设置培训模块，切实提升干部职工专业素养和实操能力。加强与上级主管部门的沟通对接，及时学习借鉴先进经验，推动政务公开工作规范化、专业化发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lang w:val="en-US" w:eastAsia="zh-CN" w:bidi="ar"/>
        </w:rPr>
        <w:t>（四）健全监督监管，强化责任落实。</w:t>
      </w:r>
      <w:r>
        <w:rPr>
          <w:rFonts w:hint="eastAsia" w:ascii="仿宋_GB2312" w:hAnsi="仿宋_GB2312" w:eastAsia="仿宋_GB2312" w:cs="仿宋_GB2312"/>
          <w:kern w:val="0"/>
          <w:sz w:val="32"/>
          <w:szCs w:val="32"/>
          <w:lang w:val="en-US" w:eastAsia="zh-CN" w:bidi="ar"/>
        </w:rPr>
        <w:t>加强对信息公开工作的日常监督检查，定期开展自查自纠，及时发现并整改工作中存在的问题，确保各项公开任务落到实处，持续提升政务公开工作水平。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方正黑体_GBK" w:hAnsi="方正黑体_GBK" w:eastAsia="方正黑体_GBK" w:cs="方正黑体_GBK"/>
          <w:b w:val="0"/>
          <w:bCs w:val="0"/>
          <w:sz w:val="32"/>
          <w:szCs w:val="32"/>
        </w:rPr>
      </w:pPr>
      <w:bookmarkStart w:id="2" w:name="_GoBack"/>
      <w:r>
        <w:rPr>
          <w:rFonts w:hint="eastAsia" w:ascii="方正黑体_GBK" w:hAnsi="方正黑体_GBK" w:eastAsia="方正黑体_GBK" w:cs="方正黑体_GBK"/>
          <w:b w:val="0"/>
          <w:bCs w:val="0"/>
          <w:sz w:val="32"/>
          <w:szCs w:val="32"/>
          <w:lang w:eastAsia="zh-CN"/>
        </w:rPr>
        <w:t>七</w:t>
      </w:r>
      <w:r>
        <w:rPr>
          <w:rFonts w:hint="eastAsia" w:ascii="方正黑体_GBK" w:hAnsi="方正黑体_GBK" w:eastAsia="方正黑体_GBK" w:cs="方正黑体_GBK"/>
          <w:b w:val="0"/>
          <w:bCs w:val="0"/>
          <w:sz w:val="32"/>
          <w:szCs w:val="32"/>
        </w:rPr>
        <w:t>、其他需要报告的事项</w:t>
      </w:r>
      <w:bookmarkEnd w:id="1"/>
    </w:p>
    <w:bookmarkEnd w:id="2"/>
    <w:p>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rPr>
        <w:t>无其他需要报告的事项。</w:t>
      </w:r>
    </w:p>
    <w:p>
      <w:pPr>
        <w:keepNext w:val="0"/>
        <w:keepLines w:val="0"/>
        <w:pageBreakBefore w:val="0"/>
        <w:kinsoku/>
        <w:wordWrap/>
        <w:overflowPunct/>
        <w:topLinePunct w:val="0"/>
        <w:autoSpaceDE/>
        <w:autoSpaceDN/>
        <w:bidi w:val="0"/>
        <w:adjustRightInd/>
        <w:snapToGrid/>
        <w:spacing w:before="120" w:after="120"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120" w:after="120" w:line="560" w:lineRule="exact"/>
        <w:ind w:firstLine="6080" w:firstLineChars="1900"/>
        <w:jc w:val="lef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120" w:after="120" w:line="560" w:lineRule="exact"/>
        <w:ind w:firstLine="6080" w:firstLineChars="19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四平市审计局</w:t>
      </w:r>
    </w:p>
    <w:p>
      <w:pPr>
        <w:keepNext w:val="0"/>
        <w:keepLines w:val="0"/>
        <w:pageBreakBefore w:val="0"/>
        <w:kinsoku/>
        <w:wordWrap/>
        <w:overflowPunct/>
        <w:topLinePunct w:val="0"/>
        <w:autoSpaceDE/>
        <w:autoSpaceDN/>
        <w:bidi w:val="0"/>
        <w:adjustRightInd/>
        <w:snapToGrid/>
        <w:spacing w:before="120" w:after="120" w:line="560" w:lineRule="exact"/>
        <w:ind w:firstLine="5760" w:firstLineChars="1800"/>
        <w:jc w:val="left"/>
        <w:textAlignment w:val="auto"/>
        <w:rPr>
          <w:sz w:val="32"/>
          <w:szCs w:val="32"/>
        </w:rPr>
      </w:pPr>
      <w:r>
        <w:rPr>
          <w:rFonts w:hint="eastAsia" w:ascii="仿宋_GB2312" w:hAnsi="仿宋_GB2312" w:eastAsia="仿宋_GB2312" w:cs="仿宋_GB2312"/>
          <w:sz w:val="32"/>
          <w:szCs w:val="32"/>
          <w:lang w:val="en-US" w:eastAsia="zh-CN"/>
        </w:rPr>
        <w:t>2026年1月13日</w:t>
      </w:r>
    </w:p>
    <w:sectPr>
      <w:footerReference r:id="rId3" w:type="default"/>
      <w:pgSz w:w="11905" w:h="16840"/>
      <w:pgMar w:top="2098" w:right="1474" w:bottom="1984" w:left="1587"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bCs/>
      </w:rPr>
    </w:pPr>
    <w:r>
      <w:rPr>
        <w:b/>
        <w:bCs/>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p>
                          <w:pPr>
                            <w:pStyle w:val="5"/>
                            <w:rPr>
                              <w:rFonts w:hint="default" w:ascii="Times New Roman" w:hAnsi="Times New Roman" w:eastAsia="方正黑体_GBK" w:cs="Times New Roman"/>
                              <w:sz w:val="28"/>
                              <w:szCs w:val="28"/>
                              <w:lang w:val="en-US" w:eastAsia="zh-CN"/>
                            </w:rP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p>
                    <w:pPr>
                      <w:pStyle w:val="5"/>
                      <w:rPr>
                        <w:rFonts w:hint="default" w:ascii="Times New Roman" w:hAnsi="Times New Roman" w:eastAsia="方正黑体_GBK" w:cs="Times New Roman"/>
                        <w:sz w:val="28"/>
                        <w:szCs w:val="28"/>
                        <w:lang w:val="en-US" w:eastAsia="zh-CN"/>
                      </w:rPr>
                    </w:pP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770FA"/>
    <w:rsid w:val="0149184C"/>
    <w:rsid w:val="0717599D"/>
    <w:rsid w:val="3C3F5493"/>
    <w:rsid w:val="5FFF2A67"/>
    <w:rsid w:val="73B55EF5"/>
    <w:rsid w:val="7FFFD6F1"/>
    <w:rsid w:val="87F74756"/>
    <w:rsid w:val="CF942880"/>
    <w:rsid w:val="D9F1F44E"/>
    <w:rsid w:val="F1BF242C"/>
    <w:rsid w:val="F7F75BE7"/>
    <w:rsid w:val="FB5FC75D"/>
    <w:rsid w:val="FEF42763"/>
    <w:rsid w:val="FFDB9A77"/>
    <w:rsid w:val="FFFB3CAA"/>
    <w:rsid w:val="FFFF1C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qFormat/>
    <w:uiPriority w:val="99"/>
    <w:pPr>
      <w:jc w:val="center"/>
      <w:outlineLvl w:val="0"/>
    </w:pPr>
    <w:rPr>
      <w:rFonts w:ascii="Arial" w:hAnsi="Arial" w:cs="Arial"/>
      <w:b/>
      <w:bCs/>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1924</Words>
  <Characters>1984</Characters>
  <TotalTime>12</TotalTime>
  <ScaleCrop>false</ScaleCrop>
  <LinksUpToDate>false</LinksUpToDate>
  <CharactersWithSpaces>1984</CharactersWithSpaces>
  <Application>WPS Office_10.8.2.7119_F1E327BC-269C-435d-A152-05C5408002CA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2026-01-11T08:05:00Z</dcterms:created>
  <dc:creator>Apache POI</dc:creator>
  <cp:lastModifiedBy>Administrator</cp:lastModifiedBy>
  <cp:lastPrinted>2026-01-14T18:17:00Z</cp:lastPrinted>
  <dcterms:modified xsi:type="dcterms:W3CDTF">2026-01-27T08:47:25Z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eyJoZGlkIjoiOTk0OTViODI3MTgyYTJjNjAxNGY0MjBlMjQ2ODdiNWQiLCJ1c2VySWQiOiI1ODQxNjkyMDIifQ==</vt:lpwstr>
  </property>
  <property fmtid="{D5CDD505-2E9C-101B-9397-08002B2CF9AE}" pid="3" name="KSOProductBuildVer">
    <vt:lpwstr>2052-10.8.2.7119</vt:lpwstr>
  </property>
  <property fmtid="{D5CDD505-2E9C-101B-9397-08002B2CF9AE}" pid="4" name="ICV">
    <vt:lpwstr>EB757AF7424CF518419E6469C0E77128_43</vt:lpwstr>
  </property>
</Properties>
</file>