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313" w:beforeLines="100" w:after="157" w:afterLines="50" w:line="0" w:lineRule="atLeas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lang w:val="en-US" w:eastAsia="zh-CN"/>
        </w:rPr>
        <w:t>交投集团、机场公司等市属国</w:t>
      </w:r>
      <w:r>
        <w:rPr>
          <w:rFonts w:hint="eastAsia" w:ascii="方正小标宋简体" w:hAnsi="方正小标宋简体" w:eastAsia="方正小标宋简体" w:cs="方正小标宋简体"/>
          <w:b/>
          <w:bCs/>
          <w:sz w:val="44"/>
          <w:szCs w:val="44"/>
        </w:rPr>
        <w:t>有企业</w:t>
      </w:r>
    </w:p>
    <w:p>
      <w:pPr>
        <w:keepNext w:val="0"/>
        <w:keepLines w:val="0"/>
        <w:pageBreakBefore w:val="0"/>
        <w:widowControl w:val="0"/>
        <w:kinsoku/>
        <w:wordWrap/>
        <w:overflowPunct/>
        <w:topLinePunct w:val="0"/>
        <w:autoSpaceDE/>
        <w:autoSpaceDN/>
        <w:bidi w:val="0"/>
        <w:adjustRightInd/>
        <w:snapToGrid/>
        <w:spacing w:before="313" w:beforeLines="100" w:after="157" w:afterLines="50" w:line="0" w:lineRule="atLeas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整合重组实施方案</w:t>
      </w:r>
    </w:p>
    <w:p>
      <w:pPr>
        <w:keepNext w:val="0"/>
        <w:keepLines w:val="0"/>
        <w:pageBreakBefore w:val="0"/>
        <w:widowControl w:val="0"/>
        <w:kinsoku/>
        <w:wordWrap/>
        <w:overflowPunct/>
        <w:topLinePunct w:val="0"/>
        <w:autoSpaceDE/>
        <w:autoSpaceDN/>
        <w:bidi w:val="0"/>
        <w:adjustRightInd/>
        <w:snapToGrid/>
        <w:spacing w:before="313" w:beforeLines="100" w:after="157" w:afterLines="50" w:line="0" w:lineRule="atLeast"/>
        <w:ind w:firstLine="0" w:firstLineChars="0"/>
        <w:jc w:val="center"/>
        <w:textAlignment w:val="auto"/>
        <w:rPr>
          <w:rFonts w:hint="eastAsia" w:ascii="黑体" w:hAnsi="黑体" w:eastAsia="黑体" w:cs="黑体"/>
          <w:b/>
          <w:bCs/>
          <w:sz w:val="32"/>
          <w:szCs w:val="32"/>
          <w:lang w:val="en-US" w:eastAsia="zh-CN"/>
        </w:rPr>
      </w:pPr>
      <w:bookmarkStart w:id="0" w:name="_GoBack"/>
      <w:bookmarkEnd w:id="0"/>
      <w:r>
        <w:rPr>
          <w:rFonts w:hint="eastAsia" w:ascii="黑体" w:hAnsi="黑体" w:eastAsia="黑体" w:cs="黑体"/>
          <w:b/>
          <w:bCs/>
          <w:sz w:val="32"/>
          <w:szCs w:val="32"/>
          <w:lang w:val="en-US" w:eastAsia="zh-CN"/>
        </w:rPr>
        <w:t>（征求意见稿）</w:t>
      </w:r>
    </w:p>
    <w:p>
      <w:pPr>
        <w:keepNext w:val="0"/>
        <w:keepLines w:val="0"/>
        <w:pageBreakBefore w:val="0"/>
        <w:widowControl w:val="0"/>
        <w:kinsoku/>
        <w:wordWrap/>
        <w:overflowPunct/>
        <w:topLinePunct w:val="0"/>
        <w:autoSpaceDE/>
        <w:autoSpaceDN/>
        <w:bidi w:val="0"/>
        <w:adjustRightInd/>
        <w:snapToGrid/>
        <w:spacing w:before="313" w:beforeLines="100" w:after="157" w:afterLines="50" w:line="0" w:lineRule="atLeast"/>
        <w:ind w:firstLine="0" w:firstLineChars="0"/>
        <w:jc w:val="both"/>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一、方案总则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华文楷体" w:hAnsi="华文楷体" w:eastAsia="华文楷体" w:cs="华文楷体"/>
          <w:b w:val="0"/>
          <w:bCs w:val="0"/>
          <w:sz w:val="32"/>
          <w:szCs w:val="32"/>
          <w:lang w:val="en-US" w:eastAsia="zh-CN"/>
        </w:rPr>
      </w:pPr>
      <w:r>
        <w:rPr>
          <w:rFonts w:hint="eastAsia" w:ascii="华文楷体" w:hAnsi="华文楷体" w:eastAsia="华文楷体" w:cs="华文楷体"/>
          <w:b w:val="0"/>
          <w:bCs w:val="0"/>
          <w:sz w:val="32"/>
          <w:szCs w:val="32"/>
          <w:lang w:val="en-US" w:eastAsia="zh-CN"/>
        </w:rPr>
        <w:t>（一）重组的背景</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rPr>
        <w:t>2024年8月中国人民银行、财政部、国家发展和改革委员会、中国证券监督管理委员会联合印发《关于规范退出融资平台公司的通知》（银发〔2024〕150号），要求在2027年6月30日前所有融资平台全部退出；2025年3月，《政府工作报告》提到“加快剥离平台政府融资功能，推动市场化转型与债务化解”；2025年7月30日，中央政治局会议提到“积极稳妥化解地方政府债务风险，严禁新增隐性债务，有力有序有效推进地方融资平台出清”；</w:t>
      </w:r>
      <w:r>
        <w:rPr>
          <w:rFonts w:hint="eastAsia" w:ascii="仿宋_GB2312" w:hAnsi="仿宋_GB2312" w:eastAsia="仿宋_GB2312" w:cs="仿宋_GB2312"/>
          <w:sz w:val="32"/>
          <w:szCs w:val="32"/>
          <w:lang w:val="en-US" w:eastAsia="zh-CN"/>
        </w:rPr>
        <w:t>我市《加快推进市属融资平台公司整合压降工作意见》也对我市平台公司压降整合提出了明确的时间节点。本次市属国有企业整合重组，是对中央和地方关于退出融资平台相关工作要求的具体落实，是有序推动我市融资平台公司能够实现市场化运作的重要举措。</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华文楷体" w:hAnsi="华文楷体" w:eastAsia="华文楷体" w:cs="华文楷体"/>
          <w:b w:val="0"/>
          <w:bCs w:val="0"/>
          <w:sz w:val="32"/>
          <w:szCs w:val="32"/>
          <w:lang w:val="en-US" w:eastAsia="zh-CN"/>
        </w:rPr>
      </w:pPr>
      <w:r>
        <w:rPr>
          <w:rFonts w:hint="eastAsia" w:ascii="华文楷体" w:hAnsi="华文楷体" w:eastAsia="华文楷体" w:cs="华文楷体"/>
          <w:b w:val="0"/>
          <w:bCs w:val="0"/>
          <w:sz w:val="32"/>
          <w:szCs w:val="32"/>
          <w:lang w:val="en-US" w:eastAsia="zh-CN"/>
        </w:rPr>
        <w:t>（二）实施的必要性与可行性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1.实施的必要性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落实国家及省市政策要求的硬性政治任务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近年来，国家层面持续出台政策要求加快地方政府融资平台公司转型，</w:t>
      </w:r>
      <w:r>
        <w:rPr>
          <w:rFonts w:hint="eastAsia" w:ascii="仿宋_GB2312" w:hAnsi="仿宋_GB2312" w:eastAsia="仿宋_GB2312" w:cs="仿宋_GB2312"/>
          <w:i w:val="0"/>
          <w:iCs w:val="0"/>
          <w:caps w:val="0"/>
          <w:color w:val="333333"/>
          <w:spacing w:val="0"/>
          <w:sz w:val="32"/>
          <w:szCs w:val="32"/>
          <w:shd w:val="clear" w:color="auto" w:fill="FFFFFF"/>
        </w:rPr>
        <w:t>积极稳妥化解地方政府债务风险，严禁新增隐性债务，有力有序有效推进地方融资平台出清</w:t>
      </w:r>
      <w:r>
        <w:rPr>
          <w:rFonts w:hint="eastAsia" w:ascii="仿宋_GB2312" w:hAnsi="仿宋_GB2312" w:eastAsia="仿宋_GB2312" w:cs="仿宋_GB2312"/>
          <w:sz w:val="32"/>
          <w:szCs w:val="32"/>
        </w:rPr>
        <w:t>。我市《加快推进市属融资平台公司整合压降工作意见》明确提出了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压减平台数量、优化股权结构、归集优质资产、明晰主责主业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的核心任务。本次整合重组是不折不扣落实上级政策要求的具体举措，是完成融资平台整合压降硬性指标的必然选择，也是规范市属国有企业经营管理、防范系统性风险的关键环节。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破解市属国企结构性矛盾的迫切现实需要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当前我市市属国有企业存在明显的结构性短板：一是主体数量偏多、层级冗余，部分企业股权链条长达3-4级，决策链条过长、管理效率低下；二是资产碎片化严重，交通、水利、</w:t>
      </w:r>
      <w:r>
        <w:rPr>
          <w:rFonts w:hint="eastAsia" w:ascii="仿宋_GB2312" w:hAnsi="仿宋_GB2312" w:eastAsia="仿宋_GB2312" w:cs="仿宋_GB2312"/>
          <w:sz w:val="32"/>
          <w:szCs w:val="32"/>
          <w:lang w:val="en-US" w:eastAsia="zh-CN"/>
        </w:rPr>
        <w:t>住建</w:t>
      </w:r>
      <w:r>
        <w:rPr>
          <w:rFonts w:hint="eastAsia" w:ascii="仿宋_GB2312" w:hAnsi="仿宋_GB2312" w:eastAsia="仿宋_GB2312" w:cs="仿宋_GB2312"/>
          <w:sz w:val="32"/>
          <w:szCs w:val="32"/>
        </w:rPr>
        <w:t>等领域优质资产分散在不同平台公司，未能形成规模效应与协同效应，大量存量资产如滨河家园小区、交通大厦等处于低效运营状态，资产收益率偏低；三是主责主业不清晰，部分平台公司业务交叉重叠、</w:t>
      </w:r>
      <w:r>
        <w:rPr>
          <w:rFonts w:hint="eastAsia" w:ascii="仿宋_GB2312" w:hAnsi="仿宋_GB2312" w:eastAsia="仿宋_GB2312" w:cs="仿宋_GB2312"/>
          <w:sz w:val="32"/>
          <w:szCs w:val="32"/>
          <w:lang w:val="en-US" w:eastAsia="zh-CN"/>
        </w:rPr>
        <w:t>同类资产不集中</w:t>
      </w:r>
      <w:r>
        <w:rPr>
          <w:rFonts w:hint="eastAsia" w:ascii="仿宋_GB2312" w:hAnsi="仿宋_GB2312" w:eastAsia="仿宋_GB2312" w:cs="仿宋_GB2312"/>
          <w:sz w:val="32"/>
          <w:szCs w:val="32"/>
        </w:rPr>
        <w:t>，资源</w:t>
      </w:r>
      <w:r>
        <w:rPr>
          <w:rFonts w:hint="eastAsia" w:ascii="仿宋_GB2312" w:hAnsi="仿宋_GB2312" w:eastAsia="仿宋_GB2312" w:cs="仿宋_GB2312"/>
          <w:sz w:val="32"/>
          <w:szCs w:val="32"/>
          <w:lang w:val="en-US" w:eastAsia="zh-CN"/>
        </w:rPr>
        <w:t>运营管理分散</w:t>
      </w:r>
      <w:r>
        <w:rPr>
          <w:rFonts w:hint="eastAsia" w:ascii="仿宋_GB2312" w:hAnsi="仿宋_GB2312" w:eastAsia="仿宋_GB2312" w:cs="仿宋_GB2312"/>
          <w:sz w:val="32"/>
          <w:szCs w:val="32"/>
        </w:rPr>
        <w:t>；四是</w:t>
      </w:r>
      <w:r>
        <w:rPr>
          <w:rFonts w:hint="eastAsia" w:ascii="仿宋_GB2312" w:hAnsi="仿宋_GB2312" w:eastAsia="仿宋_GB2312" w:cs="仿宋_GB2312"/>
          <w:sz w:val="32"/>
          <w:szCs w:val="32"/>
          <w:lang w:val="en-US" w:eastAsia="zh-CN"/>
        </w:rPr>
        <w:t>部分市属国有企业</w:t>
      </w:r>
      <w:r>
        <w:rPr>
          <w:rFonts w:hint="eastAsia" w:ascii="仿宋_GB2312" w:hAnsi="仿宋_GB2312" w:eastAsia="仿宋_GB2312" w:cs="仿宋_GB2312"/>
          <w:sz w:val="32"/>
          <w:szCs w:val="32"/>
        </w:rPr>
        <w:t>融资渠道窄，难以支撑全市重大基础设施建设与产业发展需求。通过整合重组，能够从根本上解决上述问题，实现国有资本的优化配置。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防范化解地方政府隐性债务风险的关键举措</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市属融资平台公司是地方政府隐性债务的主要承载主体，分散的债务管理模式存在底数不清、责任不明、风险传导等隐患。本次整合重组将通过股权划转与主体合并，实现债务的统一归集、统一管理、统一偿还，建立</w:t>
      </w:r>
      <w:r>
        <w:rPr>
          <w:rFonts w:hint="eastAsia" w:ascii="仿宋_GB2312" w:hAnsi="仿宋_GB2312" w:eastAsia="仿宋_GB2312" w:cs="仿宋_GB2312"/>
          <w:sz w:val="32"/>
          <w:szCs w:val="32"/>
          <w:lang w:eastAsia="zh-CN"/>
        </w:rPr>
        <w:t>“权责清晰、风险可控”</w:t>
      </w:r>
      <w:r>
        <w:rPr>
          <w:rFonts w:hint="eastAsia" w:ascii="仿宋_GB2312" w:hAnsi="仿宋_GB2312" w:eastAsia="仿宋_GB2312" w:cs="仿宋_GB2312"/>
          <w:sz w:val="32"/>
          <w:szCs w:val="32"/>
        </w:rPr>
        <w:t>的债务管控体系；</w:t>
      </w:r>
      <w:r>
        <w:rPr>
          <w:rFonts w:hint="eastAsia" w:ascii="仿宋_GB2312" w:hAnsi="仿宋_GB2312" w:eastAsia="仿宋_GB2312" w:cs="仿宋_GB2312"/>
          <w:sz w:val="32"/>
          <w:szCs w:val="32"/>
          <w:lang w:val="en-US" w:eastAsia="zh-CN"/>
        </w:rPr>
        <w:t>同时聚焦“真转型”，</w:t>
      </w:r>
      <w:r>
        <w:rPr>
          <w:rFonts w:hint="eastAsia" w:ascii="仿宋_GB2312" w:hAnsi="仿宋_GB2312" w:eastAsia="仿宋_GB2312" w:cs="仿宋_GB2312"/>
          <w:i w:val="0"/>
          <w:iCs w:val="0"/>
          <w:caps w:val="0"/>
          <w:color w:val="333333"/>
          <w:spacing w:val="0"/>
          <w:sz w:val="32"/>
          <w:szCs w:val="32"/>
          <w:shd w:val="clear" w:color="auto" w:fill="FFFFFF"/>
        </w:rPr>
        <w:t>推动</w:t>
      </w:r>
      <w:r>
        <w:rPr>
          <w:rFonts w:hint="eastAsia" w:ascii="仿宋_GB2312" w:hAnsi="仿宋_GB2312" w:eastAsia="仿宋_GB2312" w:cs="仿宋_GB2312"/>
          <w:i w:val="0"/>
          <w:iCs w:val="0"/>
          <w:caps w:val="0"/>
          <w:color w:val="333333"/>
          <w:spacing w:val="0"/>
          <w:sz w:val="32"/>
          <w:szCs w:val="32"/>
          <w:shd w:val="clear" w:color="auto" w:fill="FFFFFF"/>
          <w:lang w:val="en-US" w:eastAsia="zh-CN"/>
        </w:rPr>
        <w:t>市属</w:t>
      </w:r>
      <w:r>
        <w:rPr>
          <w:rFonts w:hint="eastAsia" w:ascii="仿宋_GB2312" w:hAnsi="仿宋_GB2312" w:eastAsia="仿宋_GB2312" w:cs="仿宋_GB2312"/>
          <w:i w:val="0"/>
          <w:iCs w:val="0"/>
          <w:caps w:val="0"/>
          <w:color w:val="333333"/>
          <w:spacing w:val="0"/>
          <w:sz w:val="32"/>
          <w:szCs w:val="32"/>
          <w:shd w:val="clear" w:color="auto" w:fill="FFFFFF"/>
        </w:rPr>
        <w:t>政府融资平台向自主经营性国企转型</w:t>
      </w:r>
      <w:r>
        <w:rPr>
          <w:rFonts w:hint="eastAsia" w:ascii="仿宋_GB2312" w:hAnsi="仿宋_GB2312" w:eastAsia="仿宋_GB2312" w:cs="仿宋_GB2312"/>
          <w:i w:val="0"/>
          <w:iCs w:val="0"/>
          <w:caps w:val="0"/>
          <w:color w:val="333333"/>
          <w:spacing w:val="0"/>
          <w:sz w:val="32"/>
          <w:szCs w:val="32"/>
          <w:shd w:val="clear" w:color="auto" w:fill="FFFFFF"/>
          <w:lang w:eastAsia="zh-CN"/>
        </w:rPr>
        <w:t>，</w:t>
      </w:r>
      <w:r>
        <w:rPr>
          <w:rFonts w:hint="eastAsia" w:ascii="仿宋_GB2312" w:hAnsi="仿宋_GB2312" w:eastAsia="仿宋_GB2312" w:cs="仿宋_GB2312"/>
          <w:i w:val="0"/>
          <w:iCs w:val="0"/>
          <w:caps w:val="0"/>
          <w:color w:val="333333"/>
          <w:spacing w:val="0"/>
          <w:sz w:val="32"/>
          <w:szCs w:val="32"/>
          <w:shd w:val="clear" w:color="auto" w:fill="FFFFFF"/>
        </w:rPr>
        <w:t>不再承担新增政府融资的职能</w:t>
      </w:r>
      <w:r>
        <w:rPr>
          <w:rFonts w:hint="eastAsia" w:ascii="仿宋_GB2312" w:hAnsi="仿宋_GB2312" w:eastAsia="仿宋_GB2312" w:cs="仿宋_GB2312"/>
          <w:i w:val="0"/>
          <w:iCs w:val="0"/>
          <w:caps w:val="0"/>
          <w:color w:val="333333"/>
          <w:spacing w:val="0"/>
          <w:sz w:val="32"/>
          <w:szCs w:val="32"/>
          <w:shd w:val="clear" w:color="auto" w:fill="FFFFFF"/>
          <w:lang w:eastAsia="zh-CN"/>
        </w:rPr>
        <w:t>，</w:t>
      </w:r>
      <w:r>
        <w:rPr>
          <w:rFonts w:hint="eastAsia" w:ascii="仿宋_GB2312" w:hAnsi="仿宋_GB2312" w:eastAsia="仿宋_GB2312" w:cs="仿宋_GB2312"/>
          <w:i w:val="0"/>
          <w:iCs w:val="0"/>
          <w:caps w:val="0"/>
          <w:color w:val="333333"/>
          <w:spacing w:val="0"/>
          <w:sz w:val="32"/>
          <w:szCs w:val="32"/>
          <w:shd w:val="clear" w:color="auto" w:fill="FFFFFF"/>
          <w:lang w:val="en-US" w:eastAsia="zh-CN"/>
        </w:rPr>
        <w:t>管住增量。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服务全市经济社会发展大局的战略要求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属国有企业是我市经济社会发展的重要支柱，承担着基础设施建设、民生保障、产业培育等重要职能。通过整合重组，将国有资本向交通、水利、城市更新、产业投资等关键领域集中，能够集中力量办大事，为我市重大基础设施项目、民生工程建设以及战略性新兴产业发展提供坚实的资金与资产支撑，更好地发挥国有企业在经济社会发展中的引领、支撑和保障作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（5）盘活行政事业单位闲置资产的现实需要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none"/>
        </w:rPr>
        <w:t>市交通运输局及所属事业单位持有大量交通类闲置资产，长期处于低效运营或无人看护状态，不仅造成国有资产浪费，部分资产还存在环保督察整改等风险。</w:t>
      </w:r>
      <w:r>
        <w:rPr>
          <w:rFonts w:hint="eastAsia" w:ascii="仿宋_GB2312" w:hAnsi="仿宋_GB2312" w:eastAsia="仿宋_GB2312" w:cs="仿宋_GB2312"/>
          <w:sz w:val="32"/>
          <w:szCs w:val="32"/>
          <w:highlight w:val="none"/>
          <w:u w:val="none"/>
        </w:rPr>
        <w:t>通过</w:t>
      </w:r>
      <w:r>
        <w:rPr>
          <w:rFonts w:hint="eastAsia" w:ascii="仿宋_GB2312" w:hAnsi="仿宋_GB2312" w:eastAsia="仿宋_GB2312" w:cs="仿宋_GB2312"/>
          <w:sz w:val="32"/>
          <w:szCs w:val="32"/>
          <w:highlight w:val="none"/>
          <w:u w:val="none"/>
          <w:lang w:val="en-US" w:eastAsia="zh-CN"/>
        </w:rPr>
        <w:t>政府统筹划转出资，以注资的形式统一</w:t>
      </w:r>
      <w:r>
        <w:rPr>
          <w:rFonts w:hint="eastAsia" w:ascii="仿宋_GB2312" w:hAnsi="仿宋_GB2312" w:eastAsia="仿宋_GB2312" w:cs="仿宋_GB2312"/>
          <w:sz w:val="32"/>
          <w:szCs w:val="32"/>
          <w:highlight w:val="none"/>
          <w:u w:val="none"/>
        </w:rPr>
        <w:t>划转至交投集团</w:t>
      </w:r>
      <w:r>
        <w:rPr>
          <w:rFonts w:hint="eastAsia" w:ascii="仿宋_GB2312" w:hAnsi="仿宋_GB2312" w:eastAsia="仿宋_GB2312" w:cs="仿宋_GB2312"/>
          <w:sz w:val="32"/>
          <w:szCs w:val="32"/>
          <w:u w:val="none"/>
        </w:rPr>
        <w:t>进行专业化运营开发，能够有效盘活存量资产，实现国有资产保值增值，同时解决相关历史遗留问题。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2.实施的可行性</w:t>
      </w:r>
    </w:p>
    <w:p>
      <w:pPr>
        <w:keepNext w:val="0"/>
        <w:keepLines w:val="0"/>
        <w:widowControl w:val="0"/>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rPr>
        <w:t>（1）政策支撑有力，方向明确可行。国家层面已出台系列文件，明确了平台整合压降、市场化转型的目标、路径和硬约束，提供了清晰的政策指引和操作遵循；地方层面印发《加快推进市属融资平台公司整合压降工作意见》等专项文件，细化了重组任务、责任分工和时间节点，形成了“国家引导、地方落实”的完整政策体系，为重组工作提供了坚实的政策保障，确保重组工作不偏离方向、符合规范。</w:t>
      </w:r>
    </w:p>
    <w:p>
      <w:pPr>
        <w:keepNext w:val="0"/>
        <w:keepLines w:val="0"/>
        <w:widowControl w:val="0"/>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rPr>
        <w:t>（2）资源基础扎实，整合空间充足。我市市属平台优质经营性资产，具备较强的资产盘活潜力和盈利能力，为重组整合提供了坚实的资产支撑。同时，部分空壳、低效平台的撤并的过程中，可通过股权划转、业务整合等方式，实现优质资源向核心企业集中，有效解决资源分散、同质化竞争等问题，进一步提升重组后国有企业的核心竞争力，为重组实施提供了充足的空间。</w:t>
      </w:r>
    </w:p>
    <w:p>
      <w:pPr>
        <w:keepNext w:val="0"/>
        <w:keepLines w:val="0"/>
        <w:pageBreakBefore w:val="0"/>
        <w:widowControl/>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rPr>
        <w:t>（3）前期工作充分，实施条件成熟。</w:t>
      </w:r>
      <w:r>
        <w:rPr>
          <w:rFonts w:hint="eastAsia" w:ascii="仿宋_GB2312" w:hAnsi="仿宋_GB2312" w:eastAsia="仿宋_GB2312" w:cs="仿宋_GB2312"/>
          <w:sz w:val="32"/>
          <w:szCs w:val="32"/>
        </w:rPr>
        <w:t>本次重组涉及的交投集团、机场公司、四发集团、水投公司、城投公司、产投公司等所有主体，最终控制人均为市财政局，属于同一投资主体下的国有独资/控股企业，产权关系清晰，无重大权属争议；</w:t>
      </w:r>
      <w:r>
        <w:rPr>
          <w:rFonts w:hint="eastAsia" w:ascii="仿宋_GB2312" w:hAnsi="仿宋_GB2312" w:eastAsia="仿宋_GB2312" w:cs="仿宋_GB2312"/>
          <w:sz w:val="32"/>
          <w:szCs w:val="32"/>
          <w:u w:val="none"/>
        </w:rPr>
        <w:t>市交通运输局及所属事业单位</w:t>
      </w:r>
      <w:r>
        <w:rPr>
          <w:rFonts w:hint="eastAsia" w:ascii="仿宋_GB2312" w:hAnsi="仿宋_GB2312" w:eastAsia="仿宋_GB2312" w:cs="仿宋_GB2312"/>
          <w:sz w:val="32"/>
          <w:szCs w:val="32"/>
          <w:highlight w:val="none"/>
          <w:u w:val="none"/>
        </w:rPr>
        <w:t>中符合注资条件的资产</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权属清晰，无重大权属争议，资产、负债、人员情况可通过</w:t>
      </w:r>
      <w:r>
        <w:rPr>
          <w:rFonts w:hint="eastAsia" w:ascii="仿宋_GB2312" w:hAnsi="仿宋_GB2312" w:eastAsia="仿宋_GB2312" w:cs="仿宋_GB2312"/>
          <w:sz w:val="32"/>
          <w:szCs w:val="32"/>
          <w:highlight w:val="none"/>
          <w:u w:val="none"/>
          <w:lang w:val="en-US" w:eastAsia="zh-CN"/>
        </w:rPr>
        <w:t>专业第三方机构</w:t>
      </w:r>
      <w:r>
        <w:rPr>
          <w:rFonts w:hint="eastAsia" w:ascii="仿宋_GB2312" w:hAnsi="仿宋_GB2312" w:eastAsia="仿宋_GB2312" w:cs="仿宋_GB2312"/>
          <w:sz w:val="32"/>
          <w:szCs w:val="32"/>
          <w:u w:val="none"/>
        </w:rPr>
        <w:t>准确核实，具备</w:t>
      </w:r>
      <w:r>
        <w:rPr>
          <w:rFonts w:hint="eastAsia" w:ascii="仿宋_GB2312" w:hAnsi="仿宋_GB2312" w:eastAsia="仿宋_GB2312" w:cs="仿宋_GB2312"/>
          <w:sz w:val="32"/>
          <w:szCs w:val="32"/>
          <w:u w:val="none"/>
          <w:lang w:val="en-US" w:eastAsia="zh-CN"/>
        </w:rPr>
        <w:t>注资</w:t>
      </w:r>
      <w:r>
        <w:rPr>
          <w:rFonts w:hint="eastAsia" w:ascii="仿宋_GB2312" w:hAnsi="仿宋_GB2312" w:eastAsia="仿宋_GB2312" w:cs="仿宋_GB2312"/>
          <w:sz w:val="32"/>
          <w:szCs w:val="32"/>
          <w:u w:val="none"/>
        </w:rPr>
        <w:t>划转条件</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rPr>
        <w:t>各主体均建立了完善的法人治理结构，能够依法履行董事会、职工代表大会等内部决策程序；各主体的资产、负债、人员情况清晰，可通过专项审计准确核实，为划转</w:t>
      </w:r>
      <w:r>
        <w:rPr>
          <w:rFonts w:hint="eastAsia" w:ascii="仿宋_GB2312" w:hAnsi="仿宋_GB2312" w:eastAsia="仿宋_GB2312" w:cs="仿宋_GB2312"/>
          <w:sz w:val="32"/>
          <w:szCs w:val="32"/>
          <w:lang w:val="en-US" w:eastAsia="zh-CN"/>
        </w:rPr>
        <w:t>重组</w:t>
      </w:r>
      <w:r>
        <w:rPr>
          <w:rFonts w:hint="eastAsia" w:ascii="仿宋_GB2312" w:hAnsi="仿宋_GB2312" w:eastAsia="仿宋_GB2312" w:cs="仿宋_GB2312"/>
          <w:sz w:val="32"/>
          <w:szCs w:val="32"/>
        </w:rPr>
        <w:t>、合并工作奠定了坚实基础。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实施模式科学高效，风险防控闭环</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本次重组创新采用</w:t>
      </w:r>
      <w:r>
        <w:rPr>
          <w:rFonts w:hint="eastAsia" w:ascii="仿宋_GB2312" w:hAnsi="仿宋_GB2312" w:eastAsia="仿宋_GB2312" w:cs="仿宋_GB2312"/>
          <w:sz w:val="32"/>
          <w:szCs w:val="32"/>
          <w:highlight w:val="none"/>
          <w:lang w:eastAsia="zh-CN"/>
        </w:rPr>
        <w:t>“一揽子报审、并行实施”</w:t>
      </w:r>
      <w:r>
        <w:rPr>
          <w:rFonts w:hint="eastAsia" w:ascii="仿宋_GB2312" w:hAnsi="仿宋_GB2312" w:eastAsia="仿宋_GB2312" w:cs="仿宋_GB2312"/>
          <w:sz w:val="32"/>
          <w:szCs w:val="32"/>
          <w:highlight w:val="none"/>
        </w:rPr>
        <w:t>的工作模式，将全部股权调整、资产重组、吸收合并、主体注销事项整合为一套完整的请示文件，一次性提报市财政局及市政府审议，大幅减少审批环节与重复工作；同时提前识别</w:t>
      </w:r>
      <w:r>
        <w:rPr>
          <w:rFonts w:hint="eastAsia" w:ascii="仿宋_GB2312" w:hAnsi="仿宋_GB2312" w:eastAsia="仿宋_GB2312" w:cs="仿宋_GB2312"/>
          <w:sz w:val="32"/>
          <w:szCs w:val="32"/>
          <w:highlight w:val="none"/>
          <w:lang w:eastAsia="zh-CN"/>
        </w:rPr>
        <w:t>国</w:t>
      </w:r>
      <w:r>
        <w:rPr>
          <w:rFonts w:hint="eastAsia" w:ascii="仿宋_GB2312" w:hAnsi="仿宋_GB2312" w:eastAsia="仿宋_GB2312" w:cs="仿宋_GB2312"/>
          <w:sz w:val="32"/>
          <w:szCs w:val="32"/>
          <w:highlight w:val="none"/>
          <w:lang w:val="en-US" w:eastAsia="zh-CN"/>
        </w:rPr>
        <w:t>资管理、税收政策风险</w:t>
      </w:r>
      <w:r>
        <w:rPr>
          <w:rFonts w:hint="eastAsia" w:ascii="仿宋_GB2312" w:hAnsi="仿宋_GB2312" w:eastAsia="仿宋_GB2312" w:cs="仿宋_GB2312"/>
          <w:sz w:val="32"/>
          <w:szCs w:val="32"/>
          <w:highlight w:val="none"/>
        </w:rPr>
        <w:t>，有效规避重组过程中的合规风险与操作风险，确保重组事项平稳落地。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各方共识已经形</w:t>
      </w:r>
      <w:r>
        <w:rPr>
          <w:rFonts w:hint="eastAsia" w:ascii="仿宋_GB2312" w:hAnsi="仿宋_GB2312" w:eastAsia="仿宋_GB2312" w:cs="仿宋_GB2312"/>
          <w:sz w:val="32"/>
          <w:szCs w:val="32"/>
        </w:rPr>
        <w:t>成，协同推进有保障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市财政局、市交通</w:t>
      </w:r>
      <w:r>
        <w:rPr>
          <w:rFonts w:hint="eastAsia" w:ascii="仿宋_GB2312" w:hAnsi="仿宋_GB2312" w:eastAsia="仿宋_GB2312" w:cs="仿宋_GB2312"/>
          <w:sz w:val="32"/>
          <w:szCs w:val="32"/>
          <w:lang w:val="en-US" w:eastAsia="zh-CN"/>
        </w:rPr>
        <w:t>运输</w:t>
      </w:r>
      <w:r>
        <w:rPr>
          <w:rFonts w:hint="eastAsia" w:ascii="仿宋_GB2312" w:hAnsi="仿宋_GB2312" w:eastAsia="仿宋_GB2312" w:cs="仿宋_GB2312"/>
          <w:sz w:val="32"/>
          <w:szCs w:val="32"/>
        </w:rPr>
        <w:t>局等相关监管部门已就本次整合重组的总体思路、核心目标与实施路径达成一致，能够在审批、协调、监管等方面给予全力支持；各重组主体已初步完成内部沟通，明确了各自的职责分工与工作任务，能够形成工作合力，共同推进各项重组工作顺利开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华文楷体" w:hAnsi="华文楷体" w:eastAsia="华文楷体" w:cs="华文楷体"/>
          <w:b w:val="0"/>
          <w:bCs w:val="0"/>
          <w:sz w:val="32"/>
          <w:szCs w:val="32"/>
          <w:lang w:val="en-US" w:eastAsia="zh-CN"/>
        </w:rPr>
      </w:pPr>
      <w:r>
        <w:rPr>
          <w:rFonts w:hint="default" w:ascii="华文楷体" w:hAnsi="华文楷体" w:eastAsia="华文楷体" w:cs="华文楷体"/>
          <w:b w:val="0"/>
          <w:bCs w:val="0"/>
          <w:sz w:val="32"/>
          <w:szCs w:val="32"/>
          <w:lang w:val="en-US" w:eastAsia="zh-CN"/>
        </w:rPr>
        <w:t>（三）重组的基本原则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1.同一最终国有出资人全资闭环重组原则：本次全部业务整合均为</w:t>
      </w:r>
      <w:r>
        <w:rPr>
          <w:rFonts w:hint="eastAsia" w:ascii="仿宋_GB2312" w:hAnsi="仿宋_GB2312" w:eastAsia="仿宋_GB2312" w:cs="仿宋_GB2312"/>
          <w:sz w:val="32"/>
          <w:szCs w:val="32"/>
          <w:lang w:val="en-US" w:eastAsia="zh-CN"/>
        </w:rPr>
        <w:t>市财政局</w:t>
      </w:r>
      <w:r>
        <w:rPr>
          <w:rFonts w:hint="default" w:ascii="仿宋_GB2312" w:hAnsi="仿宋_GB2312" w:eastAsia="仿宋_GB2312" w:cs="仿宋_GB2312"/>
          <w:sz w:val="32"/>
          <w:szCs w:val="32"/>
          <w:lang w:val="en-US" w:eastAsia="zh-CN"/>
        </w:rPr>
        <w:t>100%全资控制体系内国有资本专业化归集重组，所有业务均无交易对价、无资金支付。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2.整体业务打包承继原则：不动产资产+关联专属债权+关联对应债务+配套从业劳动力四要素整体捆绑资产重组承继，不单独分割不动产、不拆分资产</w:t>
      </w:r>
      <w:r>
        <w:rPr>
          <w:rFonts w:hint="eastAsia" w:ascii="仿宋_GB2312" w:hAnsi="仿宋_GB2312" w:eastAsia="仿宋_GB2312" w:cs="仿宋_GB2312"/>
          <w:sz w:val="32"/>
          <w:szCs w:val="32"/>
          <w:lang w:val="en-US" w:eastAsia="zh-CN"/>
        </w:rPr>
        <w:t>和</w:t>
      </w:r>
      <w:r>
        <w:rPr>
          <w:rFonts w:hint="default" w:ascii="仿宋_GB2312" w:hAnsi="仿宋_GB2312" w:eastAsia="仿宋_GB2312" w:cs="仿宋_GB2312"/>
          <w:sz w:val="32"/>
          <w:szCs w:val="32"/>
          <w:lang w:val="en-US" w:eastAsia="zh-CN"/>
        </w:rPr>
        <w:t>负债</w:t>
      </w:r>
      <w:r>
        <w:rPr>
          <w:rFonts w:hint="eastAsia" w:ascii="仿宋_GB2312" w:hAnsi="仿宋_GB2312" w:eastAsia="仿宋_GB2312" w:cs="仿宋_GB2312"/>
          <w:sz w:val="32"/>
          <w:szCs w:val="32"/>
          <w:lang w:val="en-US" w:eastAsia="zh-CN"/>
        </w:rPr>
        <w:t>进行</w:t>
      </w:r>
      <w:r>
        <w:rPr>
          <w:rFonts w:hint="default" w:ascii="仿宋_GB2312" w:hAnsi="仿宋_GB2312" w:eastAsia="仿宋_GB2312" w:cs="仿宋_GB2312"/>
          <w:sz w:val="32"/>
          <w:szCs w:val="32"/>
          <w:lang w:val="en-US" w:eastAsia="zh-CN"/>
        </w:rPr>
        <w:t>转移。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3.原账面净值承继原则（注资资产除外）：全部资产、</w:t>
      </w:r>
      <w:r>
        <w:rPr>
          <w:rFonts w:hint="eastAsia" w:ascii="仿宋_GB2312" w:hAnsi="仿宋_GB2312" w:eastAsia="仿宋_GB2312" w:cs="仿宋_GB2312"/>
          <w:sz w:val="32"/>
          <w:szCs w:val="32"/>
          <w:lang w:val="en-US" w:eastAsia="zh-CN"/>
        </w:rPr>
        <w:t>债权、</w:t>
      </w:r>
      <w:r>
        <w:rPr>
          <w:rFonts w:hint="default" w:ascii="仿宋_GB2312" w:hAnsi="仿宋_GB2312" w:eastAsia="仿宋_GB2312" w:cs="仿宋_GB2312"/>
          <w:sz w:val="32"/>
          <w:szCs w:val="32"/>
          <w:lang w:val="en-US" w:eastAsia="zh-CN"/>
        </w:rPr>
        <w:t>负债按</w:t>
      </w:r>
      <w:r>
        <w:rPr>
          <w:rFonts w:hint="eastAsia" w:ascii="仿宋_GB2312" w:hAnsi="仿宋_GB2312" w:eastAsia="仿宋_GB2312" w:cs="仿宋_GB2312"/>
          <w:sz w:val="32"/>
          <w:szCs w:val="32"/>
          <w:lang w:val="en-US" w:eastAsia="zh-CN"/>
        </w:rPr>
        <w:t>转出</w:t>
      </w:r>
      <w:r>
        <w:rPr>
          <w:rFonts w:hint="default" w:ascii="仿宋_GB2312" w:hAnsi="仿宋_GB2312" w:eastAsia="仿宋_GB2312" w:cs="仿宋_GB2312"/>
          <w:sz w:val="32"/>
          <w:szCs w:val="32"/>
          <w:lang w:val="en-US" w:eastAsia="zh-CN"/>
        </w:rPr>
        <w:t>主体原账面原值、累计折旧、账面净值转移，不评估增值、会计上不确认损益、不产生资本溢价。注资至交投集团的交通类闲置资产，</w:t>
      </w:r>
      <w:r>
        <w:rPr>
          <w:rFonts w:ascii="Times New Roman" w:eastAsia="仿宋_GB2312"/>
          <w:b w:val="0"/>
          <w:bCs w:val="0"/>
          <w:i w:val="0"/>
          <w:iCs w:val="0"/>
          <w:sz w:val="32"/>
          <w:szCs w:val="32"/>
        </w:rPr>
        <w:t>账外资产须先依法进行产权确认并调整入账，经专项评估审计确认入账价值后，再以注资形式注入交投集团。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4.国有资产保值合规原则：权属清晰无瑕疵，全程接受国资监管，严防国有资产流失。</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5.合理商业目的原则：本次整合仅为国有资本布局优化、不动产归口专业化运营管理，不以税收减免、避税为主要及唯一目的，满足全部重组税收优惠前置条件。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6.人员平稳接续原则：劳动关系整体平移、工龄连续计算、薪酬社保待遇不变、无缝接续、不裁员、不解除劳动合同。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7.非公益性资产注资原则：注入交投集团的交通类资产均为非公益性资产，具备经营开发条件和商业运营价值，符合《行政事业性国有资产管理条例》关于资产盘活利用的相关规定。全部注资资产须逐项确认非公益性属性，严禁将政府公共基础设施、行政办公用房等公益性资产纳入注资范围。</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二、重组涉及主体的基本情况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华文楷体" w:hAnsi="华文楷体" w:eastAsia="华文楷体" w:cs="华文楷体"/>
          <w:b w:val="0"/>
          <w:bCs w:val="0"/>
          <w:sz w:val="32"/>
          <w:szCs w:val="32"/>
          <w:lang w:val="en-US" w:eastAsia="zh-CN"/>
        </w:rPr>
      </w:pPr>
      <w:r>
        <w:rPr>
          <w:rFonts w:hint="eastAsia" w:ascii="华文楷体" w:hAnsi="华文楷体" w:eastAsia="华文楷体" w:cs="华文楷体"/>
          <w:b w:val="0"/>
          <w:bCs w:val="0"/>
          <w:sz w:val="32"/>
          <w:szCs w:val="32"/>
          <w:lang w:eastAsia="zh-CN"/>
        </w:rPr>
        <w:t>（</w:t>
      </w:r>
      <w:r>
        <w:rPr>
          <w:rFonts w:hint="eastAsia" w:ascii="华文楷体" w:hAnsi="华文楷体" w:eastAsia="华文楷体" w:cs="华文楷体"/>
          <w:b w:val="0"/>
          <w:bCs w:val="0"/>
          <w:sz w:val="32"/>
          <w:szCs w:val="32"/>
          <w:lang w:val="en-US" w:eastAsia="zh-CN"/>
        </w:rPr>
        <w:t>一</w:t>
      </w:r>
      <w:r>
        <w:rPr>
          <w:rFonts w:hint="eastAsia" w:ascii="华文楷体" w:hAnsi="华文楷体" w:eastAsia="华文楷体" w:cs="华文楷体"/>
          <w:b w:val="0"/>
          <w:bCs w:val="0"/>
          <w:sz w:val="32"/>
          <w:szCs w:val="32"/>
          <w:lang w:eastAsia="zh-CN"/>
        </w:rPr>
        <w:t>）</w:t>
      </w:r>
      <w:r>
        <w:rPr>
          <w:rFonts w:hint="eastAsia" w:ascii="华文楷体" w:hAnsi="华文楷体" w:eastAsia="华文楷体" w:cs="华文楷体"/>
          <w:b w:val="0"/>
          <w:bCs w:val="0"/>
          <w:sz w:val="32"/>
          <w:szCs w:val="32"/>
          <w:lang w:val="en-US" w:eastAsia="zh-CN"/>
        </w:rPr>
        <w:t>出资人职责主体</w:t>
      </w:r>
    </w:p>
    <w:p>
      <w:pPr>
        <w:ind w:firstLine="64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1.四平</w:t>
      </w:r>
      <w:r>
        <w:rPr>
          <w:rFonts w:hint="eastAsia" w:ascii="仿宋_GB2312" w:hAnsi="仿宋_GB2312" w:eastAsia="仿宋_GB2312" w:cs="仿宋_GB2312"/>
          <w:sz w:val="32"/>
          <w:szCs w:val="32"/>
        </w:rPr>
        <w:t>市财政局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以下简称“市财政局”）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为</w:t>
      </w:r>
      <w:r>
        <w:rPr>
          <w:rFonts w:hint="eastAsia" w:ascii="仿宋_GB2312" w:hAnsi="仿宋_GB2312" w:eastAsia="仿宋_GB2312" w:cs="仿宋_GB2312"/>
          <w:sz w:val="32"/>
          <w:szCs w:val="32"/>
        </w:rPr>
        <w:t>市属国有企业出资人，本次重组所有主体的唯一最终控制人，统筹审批整合重组事项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由于市国资委已成立，市财政局作为出资人职责将划转给市国资委，出资人划转后，按照经市政府批准后的职责分工履行审批职责。</w:t>
      </w:r>
    </w:p>
    <w:p>
      <w:pPr>
        <w:ind w:firstLine="64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2.四平市人民政府国有资产监督管理委员会（以下简称“市国资委”，为四平市国有资本发展控股集团有限公司履行出资人职责机构。</w:t>
      </w:r>
      <w:r>
        <w:rPr>
          <w:rFonts w:hint="eastAsia" w:ascii="仿宋_GB2312" w:hAnsi="仿宋_GB2312" w:eastAsia="仿宋_GB2312" w:cs="仿宋_GB2312"/>
          <w:sz w:val="32"/>
          <w:szCs w:val="32"/>
          <w:lang w:val="en-US" w:eastAsia="zh-CN"/>
        </w:rPr>
        <w:t>市财政局作为出资人职责划转给市国资委后，按照经市政府批准后的职责分工履行审批职责。</w:t>
      </w:r>
    </w:p>
    <w:p>
      <w:pPr>
        <w:ind w:firstLine="640"/>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lang w:val="en-US" w:eastAsia="zh-CN"/>
        </w:rPr>
        <w:t>3.四平市交通运输局（以下简称“市交通运输局”），是四平勤业机场建设管理有限公司和四平市建融交通投资集团有限公司的代为履行出资人职责机构，</w:t>
      </w:r>
      <w:r>
        <w:rPr>
          <w:rFonts w:hint="eastAsia" w:ascii="仿宋_GB2312" w:hAnsi="仿宋_GB2312" w:eastAsia="仿宋_GB2312" w:cs="仿宋_GB2312"/>
          <w:sz w:val="32"/>
          <w:szCs w:val="32"/>
          <w:highlight w:val="none"/>
          <w:u w:val="none"/>
          <w:lang w:val="en-US" w:eastAsia="zh-CN"/>
        </w:rPr>
        <w:t>同时作为本次行政事业单位交通类资产的划出方，负责履行行政事业性国有资产注资划转相关内部决策、资产清查、资料提供等职责。</w:t>
      </w:r>
    </w:p>
    <w:p>
      <w:pPr>
        <w:ind w:firstLine="640" w:firstLineChars="200"/>
        <w:rPr>
          <w:rFonts w:hint="default"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四平市交通运输综合服务中心和四平市交通运输综合行政执法支队作为市交通运输局所属事业单位，配合完成本单位名下资产的清查、权属确认及资产移交工作。</w:t>
      </w:r>
    </w:p>
    <w:p>
      <w:pPr>
        <w:keepNext w:val="0"/>
        <w:keepLines w:val="0"/>
        <w:pageBreakBefore w:val="0"/>
        <w:widowControl/>
        <w:kinsoku/>
        <w:wordWrap/>
        <w:overflowPunct/>
        <w:topLinePunct w:val="0"/>
        <w:autoSpaceDE/>
        <w:autoSpaceDN/>
        <w:bidi w:val="0"/>
        <w:adjustRightInd/>
        <w:snapToGrid/>
        <w:ind w:firstLine="640" w:firstLineChars="0"/>
        <w:textAlignment w:val="auto"/>
        <w:rPr>
          <w:rFonts w:hint="eastAsia" w:ascii="华文楷体" w:hAnsi="华文楷体" w:eastAsia="华文楷体" w:cs="华文楷体"/>
          <w:b w:val="0"/>
          <w:bCs w:val="0"/>
          <w:sz w:val="32"/>
          <w:szCs w:val="32"/>
          <w:lang w:val="en-US" w:eastAsia="zh-CN"/>
        </w:rPr>
      </w:pPr>
      <w:r>
        <w:rPr>
          <w:rFonts w:hint="eastAsia" w:ascii="华文楷体" w:hAnsi="华文楷体" w:eastAsia="华文楷体" w:cs="华文楷体"/>
          <w:b w:val="0"/>
          <w:bCs w:val="0"/>
          <w:sz w:val="32"/>
          <w:szCs w:val="32"/>
          <w:lang w:val="en-US" w:eastAsia="zh-CN"/>
        </w:rPr>
        <w:t>（二）</w:t>
      </w:r>
      <w:r>
        <w:rPr>
          <w:rFonts w:hint="eastAsia" w:ascii="华文楷体" w:hAnsi="华文楷体" w:eastAsia="华文楷体" w:cs="华文楷体"/>
          <w:b w:val="0"/>
          <w:bCs w:val="0"/>
          <w:sz w:val="32"/>
          <w:szCs w:val="32"/>
        </w:rPr>
        <w:t>主体</w:t>
      </w:r>
      <w:r>
        <w:rPr>
          <w:rFonts w:hint="eastAsia" w:ascii="华文楷体" w:hAnsi="华文楷体" w:eastAsia="华文楷体" w:cs="华文楷体"/>
          <w:b w:val="0"/>
          <w:bCs w:val="0"/>
          <w:sz w:val="32"/>
          <w:szCs w:val="32"/>
          <w:lang w:val="en-US" w:eastAsia="zh-CN"/>
        </w:rPr>
        <w:t>公司</w:t>
      </w:r>
    </w:p>
    <w:p>
      <w:pPr>
        <w:ind w:firstLine="640"/>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32"/>
          <w:szCs w:val="32"/>
          <w:highlight w:val="none"/>
          <w:lang w:val="en-US" w:eastAsia="zh-CN"/>
        </w:rPr>
        <w:t>1.四平市建融交通投资集团有限公司（简称“</w:t>
      </w:r>
      <w:r>
        <w:rPr>
          <w:rFonts w:hint="eastAsia" w:ascii="仿宋_GB2312" w:hAnsi="仿宋_GB2312" w:eastAsia="仿宋_GB2312" w:cs="仿宋_GB2312"/>
          <w:sz w:val="32"/>
          <w:szCs w:val="32"/>
          <w:highlight w:val="none"/>
        </w:rPr>
        <w:t>交投集团</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32"/>
          <w:szCs w:val="32"/>
          <w:highlight w:val="none"/>
        </w:rPr>
        <w:t>市财政局直接持股89.37%，</w:t>
      </w:r>
      <w:r>
        <w:rPr>
          <w:rFonts w:hint="eastAsia" w:ascii="仿宋_GB2312" w:hAnsi="仿宋_GB2312" w:eastAsia="仿宋_GB2312" w:cs="仿宋_GB2312"/>
          <w:sz w:val="32"/>
          <w:szCs w:val="32"/>
          <w:highlight w:val="none"/>
          <w:lang w:val="en-US" w:eastAsia="zh-CN"/>
        </w:rPr>
        <w:t>市产投</w:t>
      </w:r>
      <w:r>
        <w:rPr>
          <w:rFonts w:hint="eastAsia" w:ascii="仿宋_GB2312" w:hAnsi="仿宋_GB2312" w:eastAsia="仿宋_GB2312" w:cs="仿宋_GB2312"/>
          <w:sz w:val="32"/>
          <w:szCs w:val="32"/>
          <w:highlight w:val="none"/>
        </w:rPr>
        <w:t>公司持股10.63%；受</w:t>
      </w:r>
      <w:r>
        <w:rPr>
          <w:rFonts w:hint="eastAsia" w:ascii="仿宋_GB2312" w:hAnsi="仿宋_GB2312" w:eastAsia="仿宋_GB2312" w:cs="仿宋_GB2312"/>
          <w:sz w:val="32"/>
          <w:szCs w:val="32"/>
          <w:highlight w:val="none"/>
          <w:lang w:val="en-US" w:eastAsia="zh-CN"/>
        </w:rPr>
        <w:t>市财政局委托由</w:t>
      </w:r>
      <w:r>
        <w:rPr>
          <w:rFonts w:hint="eastAsia" w:ascii="仿宋_GB2312" w:hAnsi="仿宋_GB2312" w:eastAsia="仿宋_GB2312" w:cs="仿宋_GB2312"/>
          <w:sz w:val="32"/>
          <w:szCs w:val="32"/>
          <w:highlight w:val="none"/>
        </w:rPr>
        <w:t>市交通</w:t>
      </w:r>
      <w:r>
        <w:rPr>
          <w:rFonts w:hint="eastAsia" w:ascii="仿宋_GB2312" w:hAnsi="仿宋_GB2312" w:eastAsia="仿宋_GB2312" w:cs="仿宋_GB2312"/>
          <w:sz w:val="32"/>
          <w:szCs w:val="32"/>
          <w:highlight w:val="none"/>
          <w:lang w:val="en-US" w:eastAsia="zh-CN"/>
        </w:rPr>
        <w:t>运输</w:t>
      </w:r>
      <w:r>
        <w:rPr>
          <w:rFonts w:hint="eastAsia" w:ascii="仿宋_GB2312" w:hAnsi="仿宋_GB2312" w:eastAsia="仿宋_GB2312" w:cs="仿宋_GB2312"/>
          <w:sz w:val="32"/>
          <w:szCs w:val="32"/>
          <w:highlight w:val="none"/>
        </w:rPr>
        <w:t>局监管</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不含股权变更）</w:t>
      </w:r>
      <w:r>
        <w:rPr>
          <w:rFonts w:hint="eastAsia" w:ascii="仿宋_GB2312" w:hAnsi="仿宋_GB2312" w:eastAsia="仿宋_GB2312" w:cs="仿宋_GB2312"/>
          <w:sz w:val="32"/>
          <w:szCs w:val="32"/>
          <w:highlight w:val="none"/>
        </w:rPr>
        <w:t>；承担全市交通基础设施投资建设职能</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于2025年10月完成隐性债务销号，并申请退出融资平台名录。</w:t>
      </w:r>
    </w:p>
    <w:p>
      <w:pPr>
        <w:ind w:firstLine="64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2.四平勤业机场建设管理有限公司（简称“</w:t>
      </w:r>
      <w:r>
        <w:rPr>
          <w:rFonts w:hint="eastAsia" w:ascii="仿宋_GB2312" w:hAnsi="仿宋_GB2312" w:eastAsia="仿宋_GB2312" w:cs="仿宋_GB2312"/>
          <w:sz w:val="32"/>
          <w:szCs w:val="32"/>
          <w:highlight w:val="none"/>
        </w:rPr>
        <w:t>机场公司</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32"/>
          <w:szCs w:val="32"/>
          <w:highlight w:val="none"/>
        </w:rPr>
        <w:t>市财政局100%全资；履行出资人职责机构为市交通</w:t>
      </w:r>
      <w:r>
        <w:rPr>
          <w:rFonts w:hint="eastAsia" w:ascii="仿宋_GB2312" w:hAnsi="仿宋_GB2312" w:eastAsia="仿宋_GB2312" w:cs="仿宋_GB2312"/>
          <w:sz w:val="32"/>
          <w:szCs w:val="32"/>
          <w:highlight w:val="none"/>
          <w:lang w:val="en-US" w:eastAsia="zh-CN"/>
        </w:rPr>
        <w:t>运输</w:t>
      </w:r>
      <w:r>
        <w:rPr>
          <w:rFonts w:hint="eastAsia" w:ascii="仿宋_GB2312" w:hAnsi="仿宋_GB2312" w:eastAsia="仿宋_GB2312" w:cs="仿宋_GB2312"/>
          <w:sz w:val="32"/>
          <w:szCs w:val="32"/>
          <w:highlight w:val="none"/>
        </w:rPr>
        <w:t>局；与交投集团</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一套班子、两块牌子</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，人员共用；承担四平军民合用机场前期筹建工作</w:t>
      </w:r>
      <w:r>
        <w:rPr>
          <w:rFonts w:hint="eastAsia" w:ascii="仿宋_GB2312" w:hAnsi="仿宋_GB2312" w:eastAsia="仿宋_GB2312" w:cs="仿宋_GB2312"/>
          <w:sz w:val="32"/>
          <w:szCs w:val="32"/>
          <w:highlight w:val="none"/>
          <w:lang w:val="en-US" w:eastAsia="zh-CN"/>
        </w:rPr>
        <w:t>。</w:t>
      </w:r>
    </w:p>
    <w:p>
      <w:pPr>
        <w:ind w:firstLine="64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3.四平市国有资本发展控股集团有限公司（简称“</w:t>
      </w:r>
      <w:r>
        <w:rPr>
          <w:rFonts w:hint="eastAsia" w:ascii="仿宋_GB2312" w:hAnsi="仿宋_GB2312" w:eastAsia="仿宋_GB2312" w:cs="仿宋_GB2312"/>
          <w:sz w:val="32"/>
          <w:szCs w:val="32"/>
          <w:highlight w:val="none"/>
        </w:rPr>
        <w:t>四发集团</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32"/>
          <w:szCs w:val="32"/>
          <w:highlight w:val="none"/>
          <w:lang w:val="en-US" w:eastAsia="zh-CN"/>
        </w:rPr>
        <w:t>市财政局100%全资；履行出资人职责机构为市国资委；统筹城市建设、水利水务领域国有资产运营。</w:t>
      </w:r>
    </w:p>
    <w:p>
      <w:pPr>
        <w:ind w:firstLine="64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4.四平市辽河水务投资集团有限公司（简称“</w:t>
      </w:r>
      <w:r>
        <w:rPr>
          <w:rFonts w:hint="eastAsia" w:ascii="仿宋_GB2312" w:hAnsi="仿宋_GB2312" w:eastAsia="仿宋_GB2312" w:cs="仿宋_GB2312"/>
          <w:sz w:val="32"/>
          <w:szCs w:val="32"/>
          <w:highlight w:val="none"/>
        </w:rPr>
        <w:t>水投公司</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四发集团100%全资子公司；与四发集团联合绝对控股市城投公司；受托负责滨河家园小区维修、维护及看护工作。</w:t>
      </w:r>
    </w:p>
    <w:p>
      <w:pPr>
        <w:ind w:firstLine="64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5.四平市城市发展投资控股有限公司（简称“</w:t>
      </w:r>
      <w:r>
        <w:rPr>
          <w:rFonts w:hint="eastAsia" w:ascii="仿宋_GB2312" w:hAnsi="仿宋_GB2312" w:eastAsia="仿宋_GB2312" w:cs="仿宋_GB2312"/>
          <w:sz w:val="32"/>
          <w:szCs w:val="32"/>
          <w:highlight w:val="none"/>
        </w:rPr>
        <w:t>城投公司</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32"/>
          <w:szCs w:val="32"/>
          <w:highlight w:val="none"/>
          <w:lang w:val="en-US" w:eastAsia="zh-CN"/>
        </w:rPr>
        <w:t>四发集团持股70.26%，水投公司持股29.74%；承担全市城市基础设施建设、保障性住房开发职能。</w:t>
      </w:r>
    </w:p>
    <w:p>
      <w:pPr>
        <w:ind w:firstLine="64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6.四平市盛达产业投资发展有限公司（简称“</w:t>
      </w:r>
      <w:r>
        <w:rPr>
          <w:rFonts w:hint="eastAsia" w:ascii="仿宋_GB2312" w:hAnsi="仿宋_GB2312" w:eastAsia="仿宋_GB2312" w:cs="仿宋_GB2312"/>
          <w:sz w:val="32"/>
          <w:szCs w:val="32"/>
          <w:highlight w:val="none"/>
        </w:rPr>
        <w:t>产投公司</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32"/>
          <w:szCs w:val="32"/>
          <w:highlight w:val="none"/>
          <w:lang w:val="en-US" w:eastAsia="zh-CN"/>
        </w:rPr>
        <w:t>四发集团100%全资子公司；承担全市战略性新兴产业投资、国有资产运营管理职能；持有交投集团10.63%股权。</w:t>
      </w:r>
    </w:p>
    <w:p>
      <w:pPr>
        <w:ind w:firstLine="64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7.四平交投商贸有限公司（简称“</w:t>
      </w:r>
      <w:r>
        <w:rPr>
          <w:rFonts w:hint="eastAsia" w:ascii="仿宋_GB2312" w:hAnsi="仿宋_GB2312" w:eastAsia="仿宋_GB2312" w:cs="仿宋_GB2312"/>
          <w:sz w:val="32"/>
          <w:szCs w:val="32"/>
          <w:highlight w:val="none"/>
        </w:rPr>
        <w:t>商贸公司</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32"/>
          <w:szCs w:val="32"/>
          <w:highlight w:val="none"/>
          <w:lang w:val="en-US" w:eastAsia="zh-CN"/>
        </w:rPr>
        <w:t>交投集团100%全资子公司；现有吉林银行3.48亿元贷款。</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所有主体最终控制人均为市财政局，属于同一投资主体下的国有</w:t>
      </w:r>
      <w:r>
        <w:rPr>
          <w:rFonts w:hint="eastAsia" w:ascii="仿宋_GB2312" w:hAnsi="仿宋_GB2312" w:eastAsia="仿宋_GB2312" w:cs="仿宋_GB2312"/>
          <w:sz w:val="32"/>
          <w:szCs w:val="32"/>
          <w:lang w:val="en-US" w:eastAsia="zh-CN"/>
        </w:rPr>
        <w:t>独</w:t>
      </w:r>
      <w:r>
        <w:rPr>
          <w:rFonts w:hint="eastAsia" w:ascii="仿宋_GB2312" w:hAnsi="仿宋_GB2312" w:eastAsia="仿宋_GB2312" w:cs="仿宋_GB2312"/>
          <w:sz w:val="32"/>
          <w:szCs w:val="32"/>
        </w:rPr>
        <w:t>资/控股企业。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华文楷体" w:hAnsi="华文楷体" w:eastAsia="华文楷体" w:cs="华文楷体"/>
          <w:b w:val="0"/>
          <w:bCs w:val="0"/>
          <w:sz w:val="32"/>
          <w:szCs w:val="32"/>
          <w:lang w:val="en-US" w:eastAsia="zh-CN"/>
        </w:rPr>
      </w:pPr>
      <w:r>
        <w:rPr>
          <w:rFonts w:hint="eastAsia" w:ascii="华文楷体" w:hAnsi="华文楷体" w:eastAsia="华文楷体" w:cs="华文楷体"/>
          <w:b w:val="0"/>
          <w:bCs w:val="0"/>
          <w:sz w:val="32"/>
          <w:szCs w:val="32"/>
          <w:lang w:val="en-US" w:eastAsia="zh-CN"/>
        </w:rPr>
        <w:t>（三）重组涉及核心资产：</w:t>
      </w:r>
    </w:p>
    <w:p>
      <w:pPr>
        <w:ind w:firstLine="64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1.交通大厦，房屋9788.68平方米，账面原值：104,060,600.00元；土地3424.18平方米，账面原值2,499,700.00元；权属归交投集团；现状：已抵押给吉林银行；使用单位：市交通运输局、市交通运输综合服务中心、交投集团。</w:t>
      </w:r>
    </w:p>
    <w:p>
      <w:pPr>
        <w:ind w:firstLine="64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2.滨河家园小区432套房产，房屋21956.94平方米账面原值：81,586,968.00元；权属归交投集团；现状：闲置；日常管理由四发集团统一负责。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华文楷体" w:hAnsi="华文楷体" w:eastAsia="华文楷体" w:cs="华文楷体"/>
          <w:b w:val="0"/>
          <w:bCs w:val="0"/>
          <w:sz w:val="32"/>
          <w:szCs w:val="32"/>
          <w:lang w:val="en-US" w:eastAsia="zh-CN"/>
        </w:rPr>
      </w:pPr>
      <w:r>
        <w:rPr>
          <w:rFonts w:hint="eastAsia" w:ascii="华文楷体" w:hAnsi="华文楷体" w:eastAsia="华文楷体" w:cs="华文楷体"/>
          <w:b w:val="0"/>
          <w:bCs w:val="0"/>
          <w:sz w:val="32"/>
          <w:szCs w:val="32"/>
          <w:lang w:val="en-US" w:eastAsia="zh-CN"/>
        </w:rPr>
        <w:t>（四）交通类闲置资产</w:t>
      </w:r>
    </w:p>
    <w:p>
      <w:pPr>
        <w:ind w:firstLine="640"/>
        <w:rPr>
          <w:rFonts w:hint="default"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市交通运输局及所属事业单位闲置资产价值合计约14333万元，其中账内资产价值约13468万元，账外资产价值约865万元，这些资产处于低效运营、闲置状态或存在历史遗留问题，资产价值发挥不明显。包括:</w:t>
      </w:r>
    </w:p>
    <w:p>
      <w:pPr>
        <w:ind w:firstLine="640"/>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1.四平东综合客运枢纽，包括房屋8215.08平方米、地上停车场17265.2平方米、地下停车场7597.27平方米，账面原值13195.7万元；权属归四平市交通运输局；现状：房屋和地上停车场由公交集团使用，地下停车场闲置。</w:t>
      </w:r>
    </w:p>
    <w:p>
      <w:pPr>
        <w:ind w:firstLine="640"/>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2.四平至叶赫一级路老城收费站，房屋924.25平方米，预估价值约117.8万元；土地8433.47平方米，预估价值约71万元；权属归四平市交通运输局；现状：闲置。</w:t>
      </w:r>
    </w:p>
    <w:p>
      <w:pPr>
        <w:ind w:firstLine="640"/>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3.铁东区北四纬44号办公楼（原公路段办公楼），房屋539.98平方米，账面原值：82万元；权属归四平市交通运输综合服务中心；现状：闲置。</w:t>
      </w:r>
    </w:p>
    <w:p>
      <w:pPr>
        <w:ind w:firstLine="640"/>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4.环城公路东互通匝道圈及房屋，房屋540平方米，预估价值约24.9万元，土地20833.6平方米，预估价值约191.7万元。权属归四平市交通运输综合服务中心；现状：目前由申远路桥使用。</w:t>
      </w:r>
    </w:p>
    <w:p>
      <w:pPr>
        <w:ind w:firstLine="640"/>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5.北环一级路杨木林匝道圈，土地70000平方米，预估价值约411.6万元；权属归四平市交通运输综合服务中心；现状：四个匝道圈全部闲置，无人看护，多次涉及环保督察整改。</w:t>
      </w:r>
    </w:p>
    <w:p>
      <w:pPr>
        <w:ind w:firstLine="640"/>
        <w:rPr>
          <w:rFonts w:hint="eastAsia"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color w:val="000000"/>
          <w:sz w:val="32"/>
          <w:szCs w:val="32"/>
          <w:u w:val="none"/>
          <w:lang w:val="en-US" w:eastAsia="zh-CN"/>
        </w:rPr>
        <w:t>6.交通街1号院外车库，房屋364.08平方米，预估价值约2.5万元，</w:t>
      </w:r>
      <w:r>
        <w:rPr>
          <w:rFonts w:hint="eastAsia" w:ascii="仿宋_GB2312" w:hAnsi="仿宋_GB2312" w:eastAsia="仿宋_GB2312" w:cs="仿宋_GB2312"/>
          <w:sz w:val="32"/>
          <w:szCs w:val="32"/>
          <w:highlight w:val="none"/>
          <w:u w:val="none"/>
          <w:lang w:val="en-US" w:eastAsia="zh-CN"/>
        </w:rPr>
        <w:t>权属归四平市交通运输综合服务中心；现状：危房，闲置。</w:t>
      </w:r>
    </w:p>
    <w:p>
      <w:pPr>
        <w:ind w:firstLine="640"/>
        <w:rPr>
          <w:rFonts w:hint="eastAsia"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color w:val="000000"/>
          <w:sz w:val="32"/>
          <w:szCs w:val="32"/>
          <w:u w:val="none"/>
          <w:lang w:val="en-US" w:eastAsia="zh-CN"/>
        </w:rPr>
        <w:t>7.家属小区（二十中）车库，房屋30平方米，预估价值约0.3万元，</w:t>
      </w:r>
      <w:r>
        <w:rPr>
          <w:rFonts w:hint="eastAsia" w:ascii="仿宋_GB2312" w:hAnsi="仿宋_GB2312" w:eastAsia="仿宋_GB2312" w:cs="仿宋_GB2312"/>
          <w:sz w:val="32"/>
          <w:szCs w:val="32"/>
          <w:highlight w:val="none"/>
          <w:u w:val="none"/>
          <w:lang w:val="en-US" w:eastAsia="zh-CN"/>
        </w:rPr>
        <w:t>权属归四平市交通运输综合服务中心；现状：危房，闲置。</w:t>
      </w:r>
    </w:p>
    <w:p>
      <w:pPr>
        <w:ind w:firstLine="640"/>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color w:val="000000"/>
          <w:sz w:val="32"/>
          <w:szCs w:val="32"/>
          <w:u w:val="none"/>
          <w:lang w:val="en-US" w:eastAsia="zh-CN"/>
        </w:rPr>
        <w:t>8.家属小区（二十中）锅炉房，房屋186.25平方米，预估价值约1.3万元，</w:t>
      </w:r>
      <w:r>
        <w:rPr>
          <w:rFonts w:hint="eastAsia" w:ascii="仿宋_GB2312" w:hAnsi="仿宋_GB2312" w:eastAsia="仿宋_GB2312" w:cs="仿宋_GB2312"/>
          <w:sz w:val="32"/>
          <w:szCs w:val="32"/>
          <w:highlight w:val="none"/>
          <w:u w:val="none"/>
          <w:lang w:val="en-US" w:eastAsia="zh-CN"/>
        </w:rPr>
        <w:t>权属归四平市交通运输综合服务中心；现状：闲置。</w:t>
      </w:r>
    </w:p>
    <w:p>
      <w:pPr>
        <w:ind w:firstLine="640"/>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9.大孤山收费站舍，房屋900平方米，预估价值约41.6万元，权属归四平市公路收费服务中心，该单位已合并至四平市交通运输综合服务中心；现状：闲置。</w:t>
      </w:r>
    </w:p>
    <w:p>
      <w:pPr>
        <w:ind w:firstLine="640"/>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10.靠山收费站舍，房屋167平方米，预估价值约7.7万元，土地900平方米，预估价值约7.6万元，权属归四平市公路收费服务中心，该单位已合并至四平市交通运输综合服务中心；现状：闲置。</w:t>
      </w:r>
    </w:p>
    <w:p>
      <w:pPr>
        <w:ind w:firstLine="640"/>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11.伊丹收费站舍，房屋416平方米，预估价值约19.2万元，土地3312平方米，预估价值约19.5万元，权属归四平市公路收费服务中心，该单位已合并至四平市交通运输综合服务中心；现状：闲置。</w:t>
      </w:r>
    </w:p>
    <w:p>
      <w:pPr>
        <w:ind w:firstLine="640"/>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12.铁西区三道林子房屋，房屋449.97平方米，账面原值约116.2万元，土地992.38平方米，预估价值约22.8万元。权属归四平市交通运输综合行政执法支队，现状：出租。</w:t>
      </w:r>
    </w:p>
    <w:p>
      <w:pPr>
        <w:ind w:firstLine="640"/>
        <w:rPr>
          <w:rFonts w:hint="default" w:ascii="仿宋_GB2312" w:hAnsi="仿宋_GB2312" w:eastAsia="仿宋_GB2312" w:cs="仿宋_GB2312"/>
          <w:sz w:val="32"/>
          <w:szCs w:val="32"/>
          <w:highlight w:val="yellow"/>
          <w:u w:val="none"/>
          <w:lang w:val="en-US" w:eastAsia="zh-CN"/>
        </w:rPr>
      </w:pPr>
      <w:r>
        <w:rPr>
          <w:rFonts w:hint="eastAsia" w:ascii="仿宋_GB2312" w:hAnsi="仿宋_GB2312" w:eastAsia="仿宋_GB2312" w:cs="仿宋_GB2312"/>
          <w:sz w:val="32"/>
          <w:szCs w:val="32"/>
          <w:highlight w:val="none"/>
          <w:u w:val="none"/>
          <w:lang w:val="en-US" w:eastAsia="zh-CN"/>
        </w:rPr>
        <w:t>上述资产的详细情况见附表：拟由政府统筹注资交通类闲置资产明细表。</w:t>
      </w:r>
    </w:p>
    <w:p>
      <w:pPr>
        <w:ind w:firstLine="640"/>
        <w:rPr>
          <w:rFonts w:hint="eastAsia" w:ascii="华文楷体" w:hAnsi="华文楷体" w:eastAsia="华文楷体" w:cs="华文楷体"/>
          <w:sz w:val="32"/>
          <w:szCs w:val="32"/>
          <w:u w:val="none"/>
          <w:lang w:val="en-US" w:eastAsia="zh-CN"/>
        </w:rPr>
      </w:pPr>
      <w:r>
        <w:rPr>
          <w:rFonts w:hint="eastAsia" w:ascii="华文楷体" w:hAnsi="华文楷体" w:eastAsia="华文楷体" w:cs="华文楷体"/>
          <w:b w:val="0"/>
          <w:bCs w:val="0"/>
          <w:sz w:val="32"/>
          <w:szCs w:val="32"/>
          <w:lang w:val="en-US" w:eastAsia="zh-CN"/>
        </w:rPr>
        <w:t>（五）</w:t>
      </w:r>
      <w:r>
        <w:rPr>
          <w:rFonts w:hint="eastAsia" w:ascii="华文楷体" w:hAnsi="华文楷体" w:eastAsia="华文楷体" w:cs="华文楷体"/>
          <w:color w:val="000000"/>
          <w:sz w:val="32"/>
          <w:szCs w:val="32"/>
          <w:u w:val="none"/>
          <w:lang w:val="en-US" w:eastAsia="zh-CN"/>
        </w:rPr>
        <w:t>宏泰物流园，</w:t>
      </w:r>
      <w:r>
        <w:rPr>
          <w:rStyle w:val="7"/>
          <w:rFonts w:hint="eastAsia" w:ascii="华文楷体" w:hAnsi="华文楷体" w:eastAsia="华文楷体" w:cs="华文楷体"/>
          <w:kern w:val="2"/>
          <w:sz w:val="32"/>
          <w:szCs w:val="32"/>
          <w:u w:val="none"/>
          <w:lang w:val="en-US" w:eastAsia="zh-CN" w:bidi="ar-SA"/>
        </w:rPr>
        <w:t>规划用地面积7</w:t>
      </w:r>
      <w:r>
        <w:rPr>
          <w:rFonts w:hint="eastAsia" w:ascii="华文楷体" w:hAnsi="华文楷体" w:eastAsia="华文楷体" w:cs="华文楷体"/>
          <w:sz w:val="32"/>
          <w:szCs w:val="32"/>
          <w:u w:val="none"/>
        </w:rPr>
        <w:t>2163.00平方米</w:t>
      </w:r>
      <w:r>
        <w:rPr>
          <w:rFonts w:hint="eastAsia" w:ascii="华文楷体" w:hAnsi="华文楷体" w:eastAsia="华文楷体" w:cs="华文楷体"/>
          <w:sz w:val="32"/>
          <w:szCs w:val="32"/>
          <w:u w:val="none"/>
          <w:lang w:eastAsia="zh-CN"/>
        </w:rPr>
        <w:t>，</w:t>
      </w:r>
      <w:r>
        <w:rPr>
          <w:rStyle w:val="7"/>
          <w:rFonts w:hint="eastAsia" w:ascii="华文楷体" w:hAnsi="华文楷体" w:eastAsia="华文楷体" w:cs="华文楷体"/>
          <w:kern w:val="2"/>
          <w:sz w:val="32"/>
          <w:szCs w:val="32"/>
          <w:u w:val="none"/>
          <w:lang w:val="en-US" w:eastAsia="zh-CN" w:bidi="ar-SA"/>
        </w:rPr>
        <w:t>预估价值约464.7万元；地上物有办公用房9120平方米/3栋，库房14978平方米/3座，</w:t>
      </w:r>
      <w:r>
        <w:rPr>
          <w:rFonts w:hint="eastAsia" w:ascii="华文楷体" w:hAnsi="华文楷体" w:eastAsia="华文楷体" w:cs="华文楷体"/>
          <w:sz w:val="32"/>
          <w:szCs w:val="32"/>
          <w:u w:val="none"/>
        </w:rPr>
        <w:t>管理用房936平方米</w:t>
      </w:r>
      <w:r>
        <w:rPr>
          <w:rFonts w:hint="eastAsia" w:ascii="华文楷体" w:hAnsi="华文楷体" w:eastAsia="华文楷体" w:cs="华文楷体"/>
          <w:sz w:val="32"/>
          <w:szCs w:val="32"/>
          <w:u w:val="none"/>
          <w:lang w:val="en-US" w:eastAsia="zh-CN"/>
        </w:rPr>
        <w:t>/1栋</w:t>
      </w:r>
      <w:r>
        <w:rPr>
          <w:rFonts w:hint="eastAsia" w:ascii="华文楷体" w:hAnsi="华文楷体" w:eastAsia="华文楷体" w:cs="华文楷体"/>
          <w:sz w:val="32"/>
          <w:szCs w:val="32"/>
          <w:u w:val="none"/>
        </w:rPr>
        <w:t>，</w:t>
      </w:r>
      <w:r>
        <w:rPr>
          <w:rFonts w:hint="eastAsia" w:ascii="华文楷体" w:hAnsi="华文楷体" w:eastAsia="华文楷体" w:cs="华文楷体"/>
          <w:sz w:val="32"/>
          <w:szCs w:val="32"/>
          <w:u w:val="none"/>
          <w:lang w:val="en-US" w:eastAsia="zh-CN"/>
        </w:rPr>
        <w:t>门卫</w:t>
      </w:r>
      <w:r>
        <w:rPr>
          <w:rFonts w:hint="eastAsia" w:ascii="华文楷体" w:hAnsi="华文楷体" w:eastAsia="华文楷体" w:cs="华文楷体"/>
          <w:sz w:val="32"/>
          <w:szCs w:val="32"/>
          <w:u w:val="none"/>
        </w:rPr>
        <w:t>94.01平方米</w:t>
      </w:r>
      <w:r>
        <w:rPr>
          <w:rFonts w:hint="eastAsia" w:ascii="华文楷体" w:hAnsi="华文楷体" w:eastAsia="华文楷体" w:cs="华文楷体"/>
          <w:sz w:val="32"/>
          <w:szCs w:val="32"/>
          <w:u w:val="none"/>
          <w:lang w:eastAsia="zh-CN"/>
        </w:rPr>
        <w:t>，</w:t>
      </w:r>
      <w:r>
        <w:rPr>
          <w:rFonts w:hint="eastAsia" w:ascii="华文楷体" w:hAnsi="华文楷体" w:eastAsia="华文楷体" w:cs="华文楷体"/>
          <w:sz w:val="32"/>
          <w:szCs w:val="32"/>
          <w:u w:val="none"/>
          <w:lang w:val="en-US" w:eastAsia="zh-CN"/>
        </w:rPr>
        <w:t>预估价值约1160.9万元。</w:t>
      </w:r>
      <w:r>
        <w:rPr>
          <w:rFonts w:hint="eastAsia" w:ascii="华文楷体" w:hAnsi="华文楷体" w:eastAsia="华文楷体" w:cs="华文楷体"/>
          <w:sz w:val="32"/>
          <w:szCs w:val="32"/>
          <w:highlight w:val="none"/>
          <w:u w:val="none"/>
          <w:lang w:val="en-US" w:eastAsia="zh-CN"/>
        </w:rPr>
        <w:t>权属归四平市宏泰交通物流有限公司，该公司为原四平市运输管理处（现市交通运输综合行政执法支队）和长春宏泰实业集团有限公司共同出资于2003年8月设立，股权各占50%。现状：</w:t>
      </w:r>
      <w:r>
        <w:rPr>
          <w:rFonts w:hint="eastAsia" w:ascii="华文楷体" w:hAnsi="华文楷体" w:eastAsia="华文楷体" w:cs="华文楷体"/>
          <w:sz w:val="32"/>
          <w:szCs w:val="32"/>
        </w:rPr>
        <w:t>长期处于无实际经营、无业务营收的停滞状态。</w:t>
      </w:r>
      <w:r>
        <w:rPr>
          <w:rFonts w:hint="eastAsia" w:ascii="华文楷体" w:hAnsi="华文楷体" w:eastAsia="华文楷体" w:cs="华文楷体"/>
          <w:sz w:val="32"/>
          <w:szCs w:val="32"/>
          <w:lang w:val="en-US" w:eastAsia="zh-CN"/>
        </w:rPr>
        <w:t>按照中央和市编办相关规定，</w:t>
      </w:r>
      <w:r>
        <w:rPr>
          <w:rFonts w:hint="eastAsia" w:ascii="华文楷体" w:hAnsi="华文楷体" w:eastAsia="华文楷体" w:cs="华文楷体"/>
          <w:sz w:val="32"/>
          <w:szCs w:val="32"/>
        </w:rPr>
        <w:t>市交通运输综合行政执法支队作为公益一类执法单位，已不具备持股、经营企业的主体资格，继续持有公司股权不符合事业单位改革政策。</w:t>
      </w:r>
      <w:r>
        <w:rPr>
          <w:rFonts w:hint="eastAsia" w:ascii="华文楷体" w:hAnsi="华文楷体" w:eastAsia="华文楷体" w:cs="华文楷体"/>
          <w:sz w:val="32"/>
          <w:szCs w:val="32"/>
          <w:u w:val="none"/>
          <w:lang w:val="en-US" w:eastAsia="zh-CN"/>
        </w:rPr>
        <w:t>存在股权和债权债务争议，需由原股东市交通运输综合行政执法支队弄清权属，解决与宏泰公司的股权和债权债务争议。</w:t>
      </w:r>
    </w:p>
    <w:p>
      <w:pPr>
        <w:keepNext w:val="0"/>
        <w:keepLines w:val="0"/>
        <w:pageBreakBefore w:val="0"/>
        <w:widowControl/>
        <w:kinsoku/>
        <w:wordWrap/>
        <w:overflowPunct/>
        <w:topLinePunct w:val="0"/>
        <w:autoSpaceDE/>
        <w:autoSpaceDN/>
        <w:bidi w:val="0"/>
        <w:adjustRightInd/>
        <w:snapToGrid/>
        <w:ind w:firstLine="640" w:firstLineChars="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三、重组核心目标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通过本次重组，对股权进行调整，理顺股权层级，提高决策效率；对资产、子公司及债务进行剥离，压减交投集团的债务负担；通过吸收合并，减少1家市属国有企业，业务整合后，由交投集团承担我市交通基础设施投资建设；将交通类非公益性闲置资产由政府统筹注资至交投集团，全面增强交投集团资产规模与资本实力；通过专业化运营开发，交投集团逐步开展水运、危货运输、低空经济、智慧交通物流园等经营性项目，打造交通基础设施与文旅、物流融合发展的新增长点，向自主经营性国企转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华文楷体" w:hAnsi="华文楷体" w:eastAsia="华文楷体" w:cs="华文楷体"/>
          <w:b w:val="0"/>
          <w:bCs w:val="0"/>
          <w:sz w:val="32"/>
          <w:szCs w:val="32"/>
          <w:lang w:val="en-US" w:eastAsia="zh-CN"/>
        </w:rPr>
      </w:pPr>
      <w:r>
        <w:rPr>
          <w:rFonts w:hint="default" w:ascii="华文楷体" w:hAnsi="华文楷体" w:eastAsia="华文楷体" w:cs="华文楷体"/>
          <w:b w:val="0"/>
          <w:bCs w:val="0"/>
          <w:sz w:val="32"/>
          <w:szCs w:val="32"/>
          <w:lang w:val="en-US" w:eastAsia="zh-CN"/>
        </w:rPr>
        <w:t>（一）交投集团调整为市财政局100%国有独资公司</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华文楷体" w:hAnsi="华文楷体" w:eastAsia="华文楷体" w:cs="华文楷体"/>
          <w:b w:val="0"/>
          <w:bCs w:val="0"/>
          <w:sz w:val="32"/>
          <w:szCs w:val="32"/>
          <w:lang w:val="en-US" w:eastAsia="zh-CN"/>
        </w:rPr>
      </w:pPr>
      <w:r>
        <w:rPr>
          <w:rFonts w:hint="default" w:ascii="华文楷体" w:hAnsi="华文楷体" w:eastAsia="华文楷体" w:cs="华文楷体"/>
          <w:b w:val="0"/>
          <w:bCs w:val="0"/>
          <w:sz w:val="32"/>
          <w:szCs w:val="32"/>
          <w:lang w:val="en-US" w:eastAsia="zh-CN"/>
        </w:rPr>
        <w:t>（二）交通大厦资产重组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1.转出方：交投</w:t>
      </w:r>
      <w:r>
        <w:rPr>
          <w:rFonts w:hint="eastAsia" w:ascii="仿宋_GB2312" w:hAnsi="仿宋_GB2312" w:eastAsia="仿宋_GB2312" w:cs="仿宋_GB2312"/>
          <w:sz w:val="32"/>
          <w:szCs w:val="32"/>
          <w:lang w:val="en-US" w:eastAsia="zh-CN"/>
        </w:rPr>
        <w:t>集团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2.承接方：产投</w:t>
      </w:r>
      <w:r>
        <w:rPr>
          <w:rFonts w:hint="eastAsia" w:ascii="仿宋_GB2312" w:hAnsi="仿宋_GB2312" w:eastAsia="仿宋_GB2312" w:cs="仿宋_GB2312"/>
          <w:sz w:val="32"/>
          <w:szCs w:val="32"/>
          <w:lang w:val="en-US" w:eastAsia="zh-CN"/>
        </w:rPr>
        <w:t>公司</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3.重组标的：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不动产：交通大厦</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含房屋所有权、国有建设用地使用权及全部附属配套设施</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（2）债权：</w:t>
      </w:r>
      <w:r>
        <w:rPr>
          <w:rFonts w:hint="default" w:ascii="仿宋_GB2312" w:hAnsi="仿宋_GB2312" w:eastAsia="仿宋_GB2312" w:cs="仿宋_GB2312"/>
          <w:sz w:val="32"/>
          <w:szCs w:val="32"/>
          <w:lang w:val="en-US" w:eastAsia="zh-CN"/>
        </w:rPr>
        <w:t>与该大厦相关全部债权</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（3）债务：</w:t>
      </w:r>
      <w:r>
        <w:rPr>
          <w:rFonts w:hint="default" w:ascii="仿宋_GB2312" w:hAnsi="仿宋_GB2312" w:eastAsia="仿宋_GB2312" w:cs="仿宋_GB2312"/>
          <w:sz w:val="32"/>
          <w:szCs w:val="32"/>
          <w:lang w:val="en-US" w:eastAsia="zh-CN"/>
        </w:rPr>
        <w:t>与该大厦相关全部债务及或有负债</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（4）人员：</w:t>
      </w:r>
      <w:r>
        <w:rPr>
          <w:rFonts w:hint="default" w:ascii="仿宋_GB2312" w:hAnsi="仿宋_GB2312" w:eastAsia="仿宋_GB2312" w:cs="仿宋_GB2312"/>
          <w:sz w:val="32"/>
          <w:szCs w:val="32"/>
          <w:lang w:val="en-US" w:eastAsia="zh-CN"/>
        </w:rPr>
        <w:t>负责该大厦运营管理的全部在岗从业人员。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华文楷体" w:hAnsi="华文楷体" w:eastAsia="华文楷体" w:cs="华文楷体"/>
          <w:b w:val="0"/>
          <w:bCs w:val="0"/>
          <w:sz w:val="32"/>
          <w:szCs w:val="32"/>
          <w:lang w:val="en-US" w:eastAsia="zh-CN"/>
        </w:rPr>
      </w:pPr>
      <w:r>
        <w:rPr>
          <w:rFonts w:hint="default" w:ascii="华文楷体" w:hAnsi="华文楷体" w:eastAsia="华文楷体" w:cs="华文楷体"/>
          <w:b w:val="0"/>
          <w:bCs w:val="0"/>
          <w:sz w:val="32"/>
          <w:szCs w:val="32"/>
          <w:lang w:val="en-US" w:eastAsia="zh-CN"/>
        </w:rPr>
        <w:t>（三）滨河家园资产重组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1.转出方：交投</w:t>
      </w:r>
      <w:r>
        <w:rPr>
          <w:rFonts w:hint="eastAsia" w:ascii="仿宋_GB2312" w:hAnsi="仿宋_GB2312" w:eastAsia="仿宋_GB2312" w:cs="仿宋_GB2312"/>
          <w:sz w:val="32"/>
          <w:szCs w:val="32"/>
          <w:lang w:val="en-US" w:eastAsia="zh-CN"/>
        </w:rPr>
        <w:t>集团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2.承接方：水投</w:t>
      </w:r>
      <w:r>
        <w:rPr>
          <w:rFonts w:hint="eastAsia" w:ascii="仿宋_GB2312" w:hAnsi="仿宋_GB2312" w:eastAsia="仿宋_GB2312" w:cs="仿宋_GB2312"/>
          <w:sz w:val="32"/>
          <w:szCs w:val="32"/>
          <w:lang w:val="en-US" w:eastAsia="zh-CN"/>
        </w:rPr>
        <w:t>公司</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3.重组标的：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（1）不动产：</w:t>
      </w:r>
      <w:r>
        <w:rPr>
          <w:rFonts w:hint="default" w:ascii="仿宋_GB2312" w:hAnsi="仿宋_GB2312" w:eastAsia="仿宋_GB2312" w:cs="仿宋_GB2312"/>
          <w:sz w:val="32"/>
          <w:szCs w:val="32"/>
          <w:lang w:val="en-US" w:eastAsia="zh-CN"/>
        </w:rPr>
        <w:t>滨河家园432套房产及配套设施</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（2）债权：</w:t>
      </w:r>
      <w:r>
        <w:rPr>
          <w:rFonts w:hint="default" w:ascii="仿宋_GB2312" w:hAnsi="仿宋_GB2312" w:eastAsia="仿宋_GB2312" w:cs="仿宋_GB2312"/>
          <w:sz w:val="32"/>
          <w:szCs w:val="32"/>
          <w:lang w:val="en-US" w:eastAsia="zh-CN"/>
        </w:rPr>
        <w:t>与该房产相关全部债权</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（3）债务：</w:t>
      </w:r>
      <w:r>
        <w:rPr>
          <w:rFonts w:hint="default" w:ascii="仿宋_GB2312" w:hAnsi="仿宋_GB2312" w:eastAsia="仿宋_GB2312" w:cs="仿宋_GB2312"/>
          <w:sz w:val="32"/>
          <w:szCs w:val="32"/>
          <w:lang w:val="en-US" w:eastAsia="zh-CN"/>
        </w:rPr>
        <w:t>与该房产相关全部债务及或有负债</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（4）人员：</w:t>
      </w:r>
      <w:r>
        <w:rPr>
          <w:rFonts w:hint="default" w:ascii="仿宋_GB2312" w:hAnsi="仿宋_GB2312" w:eastAsia="仿宋_GB2312" w:cs="仿宋_GB2312"/>
          <w:sz w:val="32"/>
          <w:szCs w:val="32"/>
          <w:lang w:val="en-US" w:eastAsia="zh-CN"/>
        </w:rPr>
        <w:t>负责该房产运营管理的全部在岗从业人员。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华文楷体" w:hAnsi="华文楷体" w:eastAsia="华文楷体" w:cs="华文楷体"/>
          <w:b w:val="0"/>
          <w:bCs w:val="0"/>
          <w:sz w:val="32"/>
          <w:szCs w:val="32"/>
          <w:lang w:val="en-US" w:eastAsia="zh-CN"/>
        </w:rPr>
      </w:pPr>
      <w:r>
        <w:rPr>
          <w:rFonts w:hint="default" w:ascii="华文楷体" w:hAnsi="华文楷体" w:eastAsia="华文楷体" w:cs="华文楷体"/>
          <w:b w:val="0"/>
          <w:bCs w:val="0"/>
          <w:sz w:val="32"/>
          <w:szCs w:val="32"/>
          <w:lang w:val="en-US" w:eastAsia="zh-CN"/>
        </w:rPr>
        <w:t>（四）将交投集团全资子公司商贸公司无偿划转给城投公司</w:t>
      </w:r>
      <w:r>
        <w:rPr>
          <w:rFonts w:hint="eastAsia" w:ascii="华文楷体" w:hAnsi="华文楷体" w:eastAsia="华文楷体" w:cs="华文楷体"/>
          <w:b w:val="0"/>
          <w:bCs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华文楷体" w:hAnsi="华文楷体" w:eastAsia="华文楷体" w:cs="华文楷体"/>
          <w:b w:val="0"/>
          <w:bCs w:val="0"/>
          <w:sz w:val="32"/>
          <w:szCs w:val="32"/>
          <w:lang w:val="en-US" w:eastAsia="zh-CN"/>
        </w:rPr>
      </w:pPr>
      <w:r>
        <w:rPr>
          <w:rFonts w:hint="default" w:ascii="华文楷体" w:hAnsi="华文楷体" w:eastAsia="华文楷体" w:cs="华文楷体"/>
          <w:b w:val="0"/>
          <w:bCs w:val="0"/>
          <w:sz w:val="32"/>
          <w:szCs w:val="32"/>
          <w:lang w:val="en-US" w:eastAsia="zh-CN"/>
        </w:rPr>
        <w:t>（五）由交投集团吸收合并机场公司，机场公司注销</w:t>
      </w:r>
      <w:r>
        <w:rPr>
          <w:rFonts w:hint="eastAsia" w:ascii="华文楷体" w:hAnsi="华文楷体" w:eastAsia="华文楷体" w:cs="华文楷体"/>
          <w:b w:val="0"/>
          <w:bCs w:val="0"/>
          <w:sz w:val="32"/>
          <w:szCs w:val="32"/>
          <w:lang w:val="en-US" w:eastAsia="zh-CN"/>
        </w:rPr>
        <w:t>，交投集团纳入参照副处级管理的企业。</w:t>
      </w:r>
    </w:p>
    <w:p>
      <w:pPr>
        <w:keepNext w:val="0"/>
        <w:keepLines w:val="0"/>
        <w:pageBreakBefore w:val="0"/>
        <w:widowControl w:val="0"/>
        <w:kinsoku/>
        <w:wordWrap/>
        <w:overflowPunct/>
        <w:topLinePunct w:val="0"/>
        <w:autoSpaceDE/>
        <w:autoSpaceDN/>
        <w:bidi w:val="0"/>
        <w:adjustRightInd/>
        <w:snapToGrid/>
        <w:ind w:left="319" w:leftChars="152" w:firstLine="320" w:firstLineChars="100"/>
        <w:textAlignment w:val="auto"/>
        <w:rPr>
          <w:rFonts w:hint="eastAsia" w:ascii="华文楷体" w:hAnsi="华文楷体" w:eastAsia="华文楷体" w:cs="华文楷体"/>
          <w:b w:val="0"/>
          <w:bCs w:val="0"/>
          <w:sz w:val="32"/>
          <w:szCs w:val="32"/>
          <w:highlight w:val="none"/>
          <w:u w:val="none"/>
          <w:lang w:val="en-US" w:eastAsia="zh-CN"/>
        </w:rPr>
      </w:pPr>
      <w:r>
        <w:rPr>
          <w:rFonts w:hint="default" w:ascii="华文楷体" w:hAnsi="华文楷体" w:eastAsia="华文楷体" w:cs="华文楷体"/>
          <w:b w:val="0"/>
          <w:bCs w:val="0"/>
          <w:sz w:val="32"/>
          <w:szCs w:val="32"/>
          <w:highlight w:val="none"/>
          <w:u w:val="none"/>
          <w:lang w:val="en-US" w:eastAsia="zh-CN"/>
        </w:rPr>
        <w:t>（</w:t>
      </w:r>
      <w:r>
        <w:rPr>
          <w:rFonts w:hint="eastAsia" w:ascii="华文楷体" w:hAnsi="华文楷体" w:eastAsia="华文楷体" w:cs="华文楷体"/>
          <w:b w:val="0"/>
          <w:bCs w:val="0"/>
          <w:sz w:val="32"/>
          <w:szCs w:val="32"/>
          <w:highlight w:val="none"/>
          <w:u w:val="none"/>
          <w:lang w:val="en-US" w:eastAsia="zh-CN"/>
        </w:rPr>
        <w:t>六</w:t>
      </w:r>
      <w:r>
        <w:rPr>
          <w:rFonts w:hint="default" w:ascii="华文楷体" w:hAnsi="华文楷体" w:eastAsia="华文楷体" w:cs="华文楷体"/>
          <w:b w:val="0"/>
          <w:bCs w:val="0"/>
          <w:sz w:val="32"/>
          <w:szCs w:val="32"/>
          <w:highlight w:val="none"/>
          <w:u w:val="none"/>
          <w:lang w:val="en-US" w:eastAsia="zh-CN"/>
        </w:rPr>
        <w:t>）</w:t>
      </w:r>
      <w:r>
        <w:rPr>
          <w:rFonts w:hint="eastAsia" w:ascii="华文楷体" w:hAnsi="华文楷体" w:eastAsia="华文楷体" w:cs="华文楷体"/>
          <w:b w:val="0"/>
          <w:bCs w:val="0"/>
          <w:sz w:val="32"/>
          <w:szCs w:val="32"/>
          <w:highlight w:val="none"/>
          <w:u w:val="none"/>
          <w:lang w:val="en-US" w:eastAsia="zh-CN"/>
        </w:rPr>
        <w:t>将市</w:t>
      </w:r>
      <w:r>
        <w:rPr>
          <w:rFonts w:hint="default" w:ascii="华文楷体" w:hAnsi="华文楷体" w:eastAsia="华文楷体" w:cs="华文楷体"/>
          <w:b w:val="0"/>
          <w:bCs w:val="0"/>
          <w:sz w:val="32"/>
          <w:szCs w:val="32"/>
          <w:highlight w:val="none"/>
          <w:u w:val="none"/>
          <w:lang w:val="en-US" w:eastAsia="zh-CN"/>
        </w:rPr>
        <w:t>交通</w:t>
      </w:r>
      <w:r>
        <w:rPr>
          <w:rFonts w:hint="eastAsia" w:ascii="华文楷体" w:hAnsi="华文楷体" w:eastAsia="华文楷体" w:cs="华文楷体"/>
          <w:b w:val="0"/>
          <w:bCs w:val="0"/>
          <w:sz w:val="32"/>
          <w:szCs w:val="32"/>
          <w:highlight w:val="none"/>
          <w:u w:val="none"/>
          <w:lang w:val="en-US" w:eastAsia="zh-CN"/>
        </w:rPr>
        <w:t>运输</w:t>
      </w:r>
      <w:r>
        <w:rPr>
          <w:rFonts w:hint="default" w:ascii="华文楷体" w:hAnsi="华文楷体" w:eastAsia="华文楷体" w:cs="华文楷体"/>
          <w:b w:val="0"/>
          <w:bCs w:val="0"/>
          <w:sz w:val="32"/>
          <w:szCs w:val="32"/>
          <w:highlight w:val="none"/>
          <w:u w:val="none"/>
          <w:lang w:val="en-US" w:eastAsia="zh-CN"/>
        </w:rPr>
        <w:t>局</w:t>
      </w:r>
      <w:r>
        <w:rPr>
          <w:rFonts w:hint="eastAsia" w:ascii="华文楷体" w:hAnsi="华文楷体" w:eastAsia="华文楷体" w:cs="华文楷体"/>
          <w:b w:val="0"/>
          <w:bCs w:val="0"/>
          <w:sz w:val="32"/>
          <w:szCs w:val="32"/>
          <w:highlight w:val="none"/>
          <w:u w:val="none"/>
          <w:lang w:val="en-US" w:eastAsia="zh-CN"/>
        </w:rPr>
        <w:t>及所属</w:t>
      </w:r>
      <w:r>
        <w:rPr>
          <w:rFonts w:hint="default" w:ascii="华文楷体" w:hAnsi="华文楷体" w:eastAsia="华文楷体" w:cs="华文楷体"/>
          <w:b w:val="0"/>
          <w:bCs w:val="0"/>
          <w:sz w:val="32"/>
          <w:szCs w:val="32"/>
          <w:highlight w:val="none"/>
          <w:u w:val="none"/>
          <w:lang w:val="en-US" w:eastAsia="zh-CN"/>
        </w:rPr>
        <w:t>事业单位</w:t>
      </w:r>
      <w:r>
        <w:rPr>
          <w:rFonts w:hint="eastAsia" w:ascii="华文楷体" w:hAnsi="华文楷体" w:eastAsia="华文楷体" w:cs="华文楷体"/>
          <w:b w:val="0"/>
          <w:bCs w:val="0"/>
          <w:sz w:val="32"/>
          <w:szCs w:val="32"/>
          <w:highlight w:val="none"/>
          <w:u w:val="none"/>
          <w:lang w:val="en-US" w:eastAsia="zh-CN"/>
        </w:rPr>
        <w:t>价值约14333万</w:t>
      </w:r>
    </w:p>
    <w:p>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华文楷体" w:hAnsi="华文楷体" w:eastAsia="华文楷体" w:cs="华文楷体"/>
          <w:b w:val="0"/>
          <w:bCs w:val="0"/>
          <w:sz w:val="32"/>
          <w:szCs w:val="32"/>
          <w:highlight w:val="none"/>
          <w:u w:val="none"/>
          <w:lang w:val="en-US" w:eastAsia="zh-CN"/>
        </w:rPr>
      </w:pPr>
      <w:r>
        <w:rPr>
          <w:rFonts w:hint="eastAsia" w:ascii="华文楷体" w:hAnsi="华文楷体" w:eastAsia="华文楷体" w:cs="华文楷体"/>
          <w:b w:val="0"/>
          <w:bCs w:val="0"/>
          <w:sz w:val="32"/>
          <w:szCs w:val="32"/>
          <w:highlight w:val="none"/>
          <w:u w:val="none"/>
          <w:lang w:val="en-US" w:eastAsia="zh-CN"/>
        </w:rPr>
        <w:t>元的交通类闲置</w:t>
      </w:r>
      <w:r>
        <w:rPr>
          <w:rFonts w:hint="default" w:ascii="华文楷体" w:hAnsi="华文楷体" w:eastAsia="华文楷体" w:cs="华文楷体"/>
          <w:b w:val="0"/>
          <w:bCs w:val="0"/>
          <w:sz w:val="32"/>
          <w:szCs w:val="32"/>
          <w:highlight w:val="none"/>
          <w:u w:val="none"/>
          <w:lang w:val="en-US" w:eastAsia="zh-CN"/>
        </w:rPr>
        <w:t>资产中符合注资条件的资产</w:t>
      </w:r>
      <w:r>
        <w:rPr>
          <w:rFonts w:hint="eastAsia" w:ascii="华文楷体" w:hAnsi="华文楷体" w:eastAsia="华文楷体" w:cs="华文楷体"/>
          <w:b w:val="0"/>
          <w:bCs w:val="0"/>
          <w:sz w:val="32"/>
          <w:szCs w:val="32"/>
          <w:highlight w:val="none"/>
          <w:u w:val="none"/>
          <w:lang w:val="en-US" w:eastAsia="zh-CN"/>
        </w:rPr>
        <w:t>，以政府注资的方式统一注入</w:t>
      </w:r>
      <w:r>
        <w:rPr>
          <w:rFonts w:hint="default" w:ascii="华文楷体" w:hAnsi="华文楷体" w:eastAsia="华文楷体" w:cs="华文楷体"/>
          <w:b w:val="0"/>
          <w:bCs w:val="0"/>
          <w:sz w:val="32"/>
          <w:szCs w:val="32"/>
          <w:highlight w:val="none"/>
          <w:u w:val="none"/>
          <w:lang w:val="en-US" w:eastAsia="zh-CN"/>
        </w:rPr>
        <w:t>至交投集团，</w:t>
      </w:r>
      <w:r>
        <w:rPr>
          <w:rFonts w:hint="eastAsia" w:ascii="华文楷体" w:hAnsi="华文楷体" w:eastAsia="华文楷体" w:cs="华文楷体"/>
          <w:b w:val="0"/>
          <w:bCs w:val="0"/>
          <w:sz w:val="32"/>
          <w:szCs w:val="32"/>
          <w:highlight w:val="none"/>
          <w:u w:val="none"/>
          <w:lang w:val="en-US" w:eastAsia="zh-CN"/>
        </w:rPr>
        <w:t>作为政府股权投资。</w:t>
      </w:r>
      <w:r>
        <w:rPr>
          <w:rFonts w:hint="eastAsia" w:ascii="华文楷体" w:hAnsi="华文楷体" w:eastAsia="华文楷体" w:cs="华文楷体"/>
          <w:sz w:val="32"/>
          <w:szCs w:val="32"/>
        </w:rPr>
        <w:t>市财政局</w:t>
      </w:r>
      <w:r>
        <w:rPr>
          <w:rFonts w:hint="eastAsia" w:ascii="华文楷体" w:hAnsi="华文楷体" w:eastAsia="华文楷体" w:cs="华文楷体"/>
          <w:sz w:val="32"/>
          <w:szCs w:val="32"/>
          <w:lang w:val="en-US" w:eastAsia="zh-CN"/>
        </w:rPr>
        <w:t>按国有资产管理相关办法，</w:t>
      </w:r>
      <w:r>
        <w:rPr>
          <w:rFonts w:hint="eastAsia" w:ascii="华文楷体" w:hAnsi="华文楷体" w:eastAsia="华文楷体" w:cs="华文楷体"/>
          <w:sz w:val="32"/>
          <w:szCs w:val="32"/>
        </w:rPr>
        <w:t>将上述</w:t>
      </w:r>
      <w:r>
        <w:rPr>
          <w:rFonts w:hint="eastAsia" w:ascii="华文楷体" w:hAnsi="华文楷体" w:eastAsia="华文楷体" w:cs="华文楷体"/>
          <w:sz w:val="32"/>
          <w:szCs w:val="32"/>
          <w:lang w:val="en-US" w:eastAsia="zh-CN"/>
        </w:rPr>
        <w:t>符合注资条件的</w:t>
      </w:r>
      <w:r>
        <w:rPr>
          <w:rFonts w:hint="eastAsia" w:ascii="华文楷体" w:hAnsi="华文楷体" w:eastAsia="华文楷体" w:cs="华文楷体"/>
          <w:sz w:val="32"/>
          <w:szCs w:val="32"/>
        </w:rPr>
        <w:t>资产</w:t>
      </w:r>
      <w:r>
        <w:rPr>
          <w:rFonts w:hint="eastAsia" w:ascii="华文楷体" w:hAnsi="华文楷体" w:eastAsia="华文楷体" w:cs="华文楷体"/>
          <w:sz w:val="32"/>
          <w:szCs w:val="32"/>
          <w:lang w:eastAsia="zh-CN"/>
        </w:rPr>
        <w:t>，</w:t>
      </w:r>
      <w:r>
        <w:rPr>
          <w:rFonts w:hint="eastAsia" w:ascii="华文楷体" w:hAnsi="华文楷体" w:eastAsia="华文楷体" w:cs="华文楷体"/>
          <w:sz w:val="32"/>
          <w:szCs w:val="32"/>
          <w:lang w:val="en-US" w:eastAsia="zh-CN"/>
        </w:rPr>
        <w:t>以政府注资的方式</w:t>
      </w:r>
      <w:r>
        <w:rPr>
          <w:rFonts w:hint="eastAsia" w:ascii="华文楷体" w:hAnsi="华文楷体" w:eastAsia="华文楷体" w:cs="华文楷体"/>
          <w:sz w:val="32"/>
          <w:szCs w:val="32"/>
        </w:rPr>
        <w:t>注入交投集团，相应增加交投集团国家资本金</w:t>
      </w:r>
      <w:r>
        <w:rPr>
          <w:rFonts w:hint="eastAsia" w:ascii="华文楷体" w:hAnsi="华文楷体" w:eastAsia="华文楷体" w:cs="华文楷体"/>
          <w:sz w:val="32"/>
          <w:szCs w:val="32"/>
          <w:highlight w:val="none"/>
          <w:u w:val="none"/>
          <w:lang w:eastAsia="zh-CN"/>
        </w:rPr>
        <w:t>，</w:t>
      </w:r>
      <w:r>
        <w:rPr>
          <w:rFonts w:hint="default" w:ascii="华文楷体" w:hAnsi="华文楷体" w:eastAsia="华文楷体" w:cs="华文楷体"/>
          <w:b w:val="0"/>
          <w:bCs w:val="0"/>
          <w:sz w:val="32"/>
          <w:szCs w:val="32"/>
          <w:highlight w:val="none"/>
          <w:u w:val="none"/>
          <w:lang w:val="en-US" w:eastAsia="zh-CN"/>
        </w:rPr>
        <w:t>全面增强交投集团资产规模与市场竞争力，</w:t>
      </w:r>
      <w:r>
        <w:rPr>
          <w:rFonts w:hint="eastAsia" w:ascii="华文楷体" w:hAnsi="华文楷体" w:eastAsia="华文楷体" w:cs="华文楷体"/>
          <w:b w:val="0"/>
          <w:bCs w:val="0"/>
          <w:sz w:val="32"/>
          <w:szCs w:val="32"/>
          <w:highlight w:val="none"/>
          <w:u w:val="none"/>
          <w:lang w:val="en-US" w:eastAsia="zh-CN"/>
        </w:rPr>
        <w:t>由交投集团统筹开发利用，</w:t>
      </w:r>
      <w:r>
        <w:rPr>
          <w:rFonts w:hint="default" w:ascii="华文楷体" w:hAnsi="华文楷体" w:eastAsia="华文楷体" w:cs="华文楷体"/>
          <w:b w:val="0"/>
          <w:bCs w:val="0"/>
          <w:sz w:val="32"/>
          <w:szCs w:val="32"/>
          <w:highlight w:val="none"/>
          <w:u w:val="none"/>
          <w:lang w:val="en-US" w:eastAsia="zh-CN"/>
        </w:rPr>
        <w:t>盘活存量交通资产，实现资产保值增值</w:t>
      </w:r>
      <w:r>
        <w:rPr>
          <w:rFonts w:hint="eastAsia" w:ascii="华文楷体" w:hAnsi="华文楷体" w:eastAsia="华文楷体" w:cs="华文楷体"/>
          <w:b w:val="0"/>
          <w:bCs w:val="0"/>
          <w:sz w:val="32"/>
          <w:szCs w:val="32"/>
          <w:highlight w:val="none"/>
          <w:u w:val="none"/>
          <w:lang w:val="en-US" w:eastAsia="zh-CN"/>
        </w:rPr>
        <w:t>。</w:t>
      </w:r>
      <w:r>
        <w:rPr>
          <w:rFonts w:hint="eastAsia" w:ascii="华文楷体" w:hAnsi="华文楷体" w:eastAsia="华文楷体" w:cs="华文楷体"/>
          <w:sz w:val="32"/>
          <w:szCs w:val="32"/>
        </w:rPr>
        <w:t>注资方式</w:t>
      </w:r>
      <w:r>
        <w:rPr>
          <w:rFonts w:hint="eastAsia" w:ascii="华文楷体" w:hAnsi="华文楷体" w:eastAsia="华文楷体" w:cs="华文楷体"/>
          <w:sz w:val="32"/>
          <w:szCs w:val="32"/>
          <w:lang w:val="en-US" w:eastAsia="zh-CN"/>
        </w:rPr>
        <w:t>为</w:t>
      </w:r>
      <w:r>
        <w:rPr>
          <w:rFonts w:hint="eastAsia" w:ascii="华文楷体" w:hAnsi="华文楷体" w:eastAsia="华文楷体" w:cs="华文楷体"/>
          <w:sz w:val="32"/>
          <w:szCs w:val="32"/>
        </w:rPr>
        <w:t>转增实收资本</w:t>
      </w:r>
      <w:r>
        <w:rPr>
          <w:rFonts w:hint="eastAsia" w:ascii="华文楷体" w:hAnsi="华文楷体" w:eastAsia="华文楷体" w:cs="华文楷体"/>
          <w:sz w:val="32"/>
          <w:szCs w:val="32"/>
          <w:lang w:eastAsia="zh-CN"/>
        </w:rPr>
        <w:t>。</w:t>
      </w:r>
      <w:r>
        <w:rPr>
          <w:rFonts w:hint="eastAsia" w:ascii="华文楷体" w:hAnsi="华文楷体" w:eastAsia="华文楷体" w:cs="华文楷体"/>
          <w:sz w:val="32"/>
          <w:szCs w:val="32"/>
          <w:lang w:val="en-US" w:eastAsia="zh-CN"/>
        </w:rPr>
        <w:t>不符合注资的资产，在依法合规的条件下可以采取委托经营的方式委托给交投集团。</w:t>
      </w:r>
      <w:r>
        <w:rPr>
          <w:rFonts w:hint="eastAsia" w:ascii="华文楷体" w:hAnsi="华文楷体" w:eastAsia="华文楷体" w:cs="华文楷体"/>
          <w:sz w:val="32"/>
          <w:szCs w:val="32"/>
        </w:rPr>
        <w:t>具体操作步骤及注意事项详见本方案第六条第（五）款。</w:t>
      </w:r>
    </w:p>
    <w:p>
      <w:pPr>
        <w:keepNext w:val="0"/>
        <w:keepLines w:val="0"/>
        <w:pageBreakBefore w:val="0"/>
        <w:widowControl w:val="0"/>
        <w:kinsoku/>
        <w:wordWrap/>
        <w:overflowPunct/>
        <w:topLinePunct w:val="0"/>
        <w:autoSpaceDE/>
        <w:autoSpaceDN/>
        <w:bidi w:val="0"/>
        <w:adjustRightInd/>
        <w:snapToGrid/>
        <w:ind w:left="319" w:leftChars="152" w:firstLine="320" w:firstLineChars="100"/>
        <w:textAlignment w:val="auto"/>
        <w:rPr>
          <w:rFonts w:hint="default" w:ascii="华文楷体" w:hAnsi="华文楷体" w:eastAsia="华文楷体" w:cs="华文楷体"/>
          <w:b w:val="0"/>
          <w:bCs w:val="0"/>
          <w:sz w:val="32"/>
          <w:szCs w:val="32"/>
          <w:highlight w:val="yellow"/>
          <w:u w:val="none"/>
          <w:lang w:val="en-US" w:eastAsia="zh-CN"/>
        </w:rPr>
      </w:pPr>
      <w:r>
        <w:rPr>
          <w:rFonts w:hint="eastAsia" w:ascii="华文楷体" w:hAnsi="华文楷体" w:eastAsia="华文楷体" w:cs="华文楷体"/>
          <w:b w:val="0"/>
          <w:bCs w:val="0"/>
          <w:sz w:val="32"/>
          <w:szCs w:val="32"/>
          <w:highlight w:val="none"/>
          <w:u w:val="none"/>
          <w:lang w:val="en-US" w:eastAsia="zh-CN"/>
        </w:rPr>
        <w:t>（七）将四平市交通运输综合执法支队持有的四平市宏泰交通物流有限公司的股权无偿划转给交投集团。</w:t>
      </w:r>
    </w:p>
    <w:p>
      <w:pPr>
        <w:keepNext w:val="0"/>
        <w:keepLines w:val="0"/>
        <w:pageBreakBefore w:val="0"/>
        <w:widowControl/>
        <w:kinsoku/>
        <w:wordWrap/>
        <w:overflowPunct/>
        <w:topLinePunct w:val="0"/>
        <w:autoSpaceDE/>
        <w:autoSpaceDN/>
        <w:bidi w:val="0"/>
        <w:adjustRightInd/>
        <w:snapToGrid/>
        <w:ind w:firstLine="640" w:firstLineChars="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同步落实融资平台整合压降要求，理顺股权层级，实现主责主业清晰匹配。</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黑体" w:hAnsi="黑体" w:eastAsia="黑体" w:cs="黑体"/>
          <w:b/>
          <w:bCs/>
          <w:sz w:val="32"/>
          <w:szCs w:val="32"/>
          <w:lang w:val="en-US" w:eastAsia="zh-CN"/>
        </w:rPr>
      </w:pPr>
      <w:r>
        <w:rPr>
          <w:rFonts w:hint="default" w:ascii="黑体" w:hAnsi="黑体" w:eastAsia="黑体" w:cs="黑体"/>
          <w:b/>
          <w:bCs/>
          <w:sz w:val="32"/>
          <w:szCs w:val="32"/>
          <w:lang w:val="en-US" w:eastAsia="zh-CN"/>
        </w:rPr>
        <w:t>四、重组</w:t>
      </w:r>
      <w:r>
        <w:rPr>
          <w:rFonts w:hint="eastAsia" w:ascii="黑体" w:hAnsi="黑体" w:eastAsia="黑体" w:cs="黑体"/>
          <w:b/>
          <w:bCs/>
          <w:sz w:val="32"/>
          <w:szCs w:val="32"/>
          <w:lang w:val="en-US" w:eastAsia="zh-CN"/>
        </w:rPr>
        <w:t>、注资</w:t>
      </w:r>
      <w:r>
        <w:rPr>
          <w:rFonts w:hint="default" w:ascii="黑体" w:hAnsi="黑体" w:eastAsia="黑体" w:cs="黑体"/>
          <w:b/>
          <w:bCs/>
          <w:sz w:val="32"/>
          <w:szCs w:val="32"/>
          <w:lang w:val="en-US" w:eastAsia="zh-CN"/>
        </w:rPr>
        <w:t>事项合规性说明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华文楷体" w:hAnsi="华文楷体" w:eastAsia="华文楷体" w:cs="华文楷体"/>
          <w:b w:val="0"/>
          <w:bCs w:val="0"/>
          <w:sz w:val="32"/>
          <w:szCs w:val="32"/>
          <w:lang w:val="en-US" w:eastAsia="zh-CN"/>
        </w:rPr>
      </w:pPr>
      <w:r>
        <w:rPr>
          <w:rFonts w:hint="default" w:ascii="华文楷体" w:hAnsi="华文楷体" w:eastAsia="华文楷体" w:cs="华文楷体"/>
          <w:b w:val="0"/>
          <w:bCs w:val="0"/>
          <w:sz w:val="32"/>
          <w:szCs w:val="32"/>
          <w:lang w:val="en-US" w:eastAsia="zh-CN"/>
        </w:rPr>
        <w:t>（一）</w:t>
      </w:r>
      <w:r>
        <w:rPr>
          <w:rFonts w:hint="eastAsia" w:ascii="华文楷体" w:hAnsi="华文楷体" w:eastAsia="华文楷体" w:cs="华文楷体"/>
          <w:b w:val="0"/>
          <w:bCs w:val="0"/>
          <w:sz w:val="32"/>
          <w:szCs w:val="32"/>
          <w:lang w:val="en-US" w:eastAsia="zh-CN"/>
        </w:rPr>
        <w:t>主体</w:t>
      </w:r>
      <w:r>
        <w:rPr>
          <w:rFonts w:hint="default" w:ascii="华文楷体" w:hAnsi="华文楷体" w:eastAsia="华文楷体" w:cs="华文楷体"/>
          <w:b w:val="0"/>
          <w:bCs w:val="0"/>
          <w:sz w:val="32"/>
          <w:szCs w:val="32"/>
          <w:lang w:val="en-US" w:eastAsia="zh-CN"/>
        </w:rPr>
        <w:t>法律规定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《中华人民共和国公司法》，核心适用条款：第169条、第172条、第218条、第220条、第221条；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《中华人民共和国企业国有资产法》，核心适用条款：第31条、第34条</w:t>
      </w:r>
      <w:r>
        <w:rPr>
          <w:rFonts w:hint="eastAsia" w:ascii="仿宋_GB2312" w:hAnsi="仿宋_GB2312" w:eastAsia="仿宋_GB2312" w:cs="仿宋_GB2312"/>
          <w:sz w:val="32"/>
          <w:szCs w:val="32"/>
          <w:lang w:val="en-US" w:eastAsia="zh-CN"/>
        </w:rPr>
        <w:t>、第</w:t>
      </w:r>
      <w:r>
        <w:rPr>
          <w:rFonts w:hint="default" w:ascii="仿宋_GB2312" w:hAnsi="仿宋_GB2312" w:eastAsia="仿宋_GB2312" w:cs="仿宋_GB2312"/>
          <w:sz w:val="32"/>
          <w:szCs w:val="32"/>
          <w:lang w:val="en-US" w:eastAsia="zh-CN"/>
        </w:rPr>
        <w:t>42</w:t>
      </w:r>
      <w:r>
        <w:rPr>
          <w:rFonts w:hint="eastAsia" w:ascii="仿宋_GB2312" w:hAnsi="仿宋_GB2312" w:eastAsia="仿宋_GB2312" w:cs="仿宋_GB2312"/>
          <w:sz w:val="32"/>
          <w:szCs w:val="32"/>
          <w:lang w:val="en-US" w:eastAsia="zh-CN"/>
        </w:rPr>
        <w:t>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《中华人民共和国民法典》，核心适用条款：第406条、第551条；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《企业国有资产监督管理暂行条例》，核心适用条款：第20条、第21条；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《关于进一步规范国有企业改制工作的实施意见》（国办发〔2005〕60号）；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《中华人民共和国劳动合同法》，核心适用条款：第34条；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r>
        <w:rPr>
          <w:rFonts w:hint="default" w:ascii="仿宋_GB2312" w:hAnsi="仿宋_GB2312" w:eastAsia="仿宋_GB2312" w:cs="仿宋_GB2312"/>
          <w:sz w:val="32"/>
          <w:szCs w:val="32"/>
          <w:lang w:val="en-US" w:eastAsia="zh-CN"/>
        </w:rPr>
        <w:t>《中华人民共和国市场主体登记管理条例》《中华人民共和国市场主体登记管理条例实施细则》相关登记管理规定。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8.</w:t>
      </w:r>
      <w:r>
        <w:rPr>
          <w:rFonts w:hint="default" w:ascii="仿宋_GB2312" w:hAnsi="仿宋_GB2312" w:eastAsia="仿宋_GB2312" w:cs="仿宋_GB2312"/>
          <w:sz w:val="32"/>
          <w:szCs w:val="32"/>
          <w:u w:val="none"/>
          <w:lang w:val="en-US" w:eastAsia="zh-CN"/>
        </w:rPr>
        <w:t>《行政事业性国有资产管理条例》（国务院令第738号），核心适用条款：第22条、第25条、第26条；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9.</w:t>
      </w:r>
      <w:r>
        <w:rPr>
          <w:rFonts w:hint="default" w:ascii="仿宋_GB2312" w:hAnsi="仿宋_GB2312" w:eastAsia="仿宋_GB2312" w:cs="仿宋_GB2312"/>
          <w:sz w:val="32"/>
          <w:szCs w:val="32"/>
          <w:u w:val="none"/>
          <w:lang w:val="en-US" w:eastAsia="zh-CN"/>
        </w:rPr>
        <w:t>《事业单位国有资产管理暂行办法》（财政部令第100号），核心适用条款：第25条、第26条、第27条；</w:t>
      </w:r>
    </w:p>
    <w:p>
      <w:pPr>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hint="default" w:ascii="仿宋_GB2312" w:hAnsi="仿宋_GB2312" w:eastAsia="仿宋_GB2312" w:cs="仿宋_GB2312"/>
          <w:b w:val="0"/>
          <w:bCs w:val="0"/>
          <w:i w:val="0"/>
          <w:iCs w:val="0"/>
          <w:color w:val="auto"/>
          <w:kern w:val="2"/>
          <w:sz w:val="32"/>
          <w:szCs w:val="32"/>
          <w:highlight w:val="none"/>
          <w:u w:val="none"/>
          <w:vertAlign w:val="baseline"/>
          <w:lang w:val="en-US" w:eastAsia="zh-CN" w:bidi="ar-SA"/>
        </w:rPr>
        <w:t>1</w:t>
      </w:r>
      <w:r>
        <w:rPr>
          <w:rFonts w:hint="eastAsia" w:ascii="仿宋_GB2312" w:hAnsi="仿宋_GB2312" w:eastAsia="仿宋_GB2312" w:cs="仿宋_GB2312"/>
          <w:b w:val="0"/>
          <w:bCs w:val="0"/>
          <w:i w:val="0"/>
          <w:iCs w:val="0"/>
          <w:color w:val="auto"/>
          <w:kern w:val="2"/>
          <w:sz w:val="32"/>
          <w:szCs w:val="32"/>
          <w:highlight w:val="none"/>
          <w:u w:val="none"/>
          <w:vertAlign w:val="baseline"/>
          <w:lang w:val="en-US" w:eastAsia="zh-CN" w:bidi="ar-SA"/>
        </w:rPr>
        <w:t>0</w:t>
      </w:r>
      <w:r>
        <w:rPr>
          <w:rFonts w:hint="default" w:ascii="仿宋_GB2312" w:hAnsi="仿宋_GB2312" w:eastAsia="仿宋_GB2312" w:cs="仿宋_GB2312"/>
          <w:b w:val="0"/>
          <w:bCs w:val="0"/>
          <w:i w:val="0"/>
          <w:iCs w:val="0"/>
          <w:color w:val="auto"/>
          <w:kern w:val="2"/>
          <w:sz w:val="32"/>
          <w:szCs w:val="32"/>
          <w:highlight w:val="none"/>
          <w:u w:val="none"/>
          <w:vertAlign w:val="baseline"/>
          <w:lang w:val="en-US" w:eastAsia="zh-CN" w:bidi="ar-SA"/>
        </w:rPr>
        <w:t>.</w:t>
      </w:r>
      <w:r>
        <w:rPr>
          <w:rFonts w:hint="eastAsia" w:ascii="仿宋_GB2312" w:hAnsi="仿宋_GB2312" w:eastAsia="仿宋_GB2312" w:cs="仿宋_GB2312"/>
          <w:b w:val="0"/>
          <w:bCs w:val="0"/>
          <w:i w:val="0"/>
          <w:iCs w:val="0"/>
          <w:color w:val="auto"/>
          <w:kern w:val="2"/>
          <w:sz w:val="32"/>
          <w:szCs w:val="32"/>
          <w:highlight w:val="none"/>
          <w:u w:val="none"/>
          <w:vertAlign w:val="baseline"/>
          <w:lang w:val="en-US" w:eastAsia="zh-CN" w:bidi="ar-SA"/>
        </w:rPr>
        <w:t>《</w:t>
      </w:r>
      <w:r>
        <w:rPr>
          <w:rFonts w:hint="default" w:ascii="仿宋_GB2312" w:hAnsi="仿宋_GB2312" w:eastAsia="仿宋_GB2312" w:cs="仿宋_GB2312"/>
          <w:b w:val="0"/>
          <w:bCs w:val="0"/>
          <w:i w:val="0"/>
          <w:iCs w:val="0"/>
          <w:color w:val="auto"/>
          <w:kern w:val="2"/>
          <w:sz w:val="32"/>
          <w:szCs w:val="32"/>
          <w:highlight w:val="none"/>
          <w:vertAlign w:val="baseline"/>
          <w:lang w:val="en-US" w:eastAsia="zh-CN" w:bidi="ar-SA"/>
        </w:rPr>
        <w:t>企业国有资产交易监督管理办法》（国务院国资委、财政部令第32号），核心适用条款：第43条；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u w:val="none"/>
          <w:lang w:val="en-US" w:eastAsia="zh-CN"/>
        </w:rPr>
      </w:pPr>
      <w:r>
        <w:rPr>
          <w:rFonts w:hint="default" w:ascii="仿宋_GB2312" w:hAnsi="仿宋_GB2312" w:eastAsia="仿宋_GB2312" w:cs="仿宋_GB2312"/>
          <w:b w:val="0"/>
          <w:bCs w:val="0"/>
          <w:i w:val="0"/>
          <w:iCs w:val="0"/>
          <w:color w:val="auto"/>
          <w:kern w:val="2"/>
          <w:sz w:val="32"/>
          <w:szCs w:val="32"/>
          <w:highlight w:val="none"/>
          <w:vertAlign w:val="baseline"/>
          <w:lang w:val="en-US" w:eastAsia="zh-CN" w:bidi="ar-SA"/>
        </w:rPr>
        <w:t>1</w:t>
      </w: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1</w:t>
      </w:r>
      <w:r>
        <w:rPr>
          <w:rFonts w:hint="default" w:ascii="仿宋_GB2312" w:hAnsi="仿宋_GB2312" w:eastAsia="仿宋_GB2312" w:cs="仿宋_GB2312"/>
          <w:b w:val="0"/>
          <w:bCs w:val="0"/>
          <w:i w:val="0"/>
          <w:iCs w:val="0"/>
          <w:color w:val="auto"/>
          <w:kern w:val="2"/>
          <w:sz w:val="32"/>
          <w:szCs w:val="32"/>
          <w:highlight w:val="none"/>
          <w:vertAlign w:val="baseline"/>
          <w:lang w:val="en-US" w:eastAsia="zh-CN" w:bidi="ar-SA"/>
        </w:rPr>
        <w:t>.《企业国有资产交易操作规则》（国资发产权规〔2025〕17号），核心适用条款：第44条、</w:t>
      </w: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第</w:t>
      </w:r>
      <w:r>
        <w:rPr>
          <w:rFonts w:hint="default" w:ascii="仿宋_GB2312" w:hAnsi="仿宋_GB2312" w:eastAsia="仿宋_GB2312" w:cs="仿宋_GB2312"/>
          <w:b w:val="0"/>
          <w:bCs w:val="0"/>
          <w:i w:val="0"/>
          <w:iCs w:val="0"/>
          <w:color w:val="auto"/>
          <w:kern w:val="2"/>
          <w:sz w:val="32"/>
          <w:szCs w:val="32"/>
          <w:highlight w:val="none"/>
          <w:vertAlign w:val="baseline"/>
          <w:lang w:val="en-US" w:eastAsia="zh-CN" w:bidi="ar-SA"/>
        </w:rPr>
        <w:t>72条；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12</w:t>
      </w:r>
      <w:r>
        <w:rPr>
          <w:rFonts w:hint="default" w:ascii="仿宋_GB2312" w:hAnsi="仿宋_GB2312" w:eastAsia="仿宋_GB2312" w:cs="仿宋_GB2312"/>
          <w:sz w:val="32"/>
          <w:szCs w:val="32"/>
          <w:u w:val="none"/>
          <w:lang w:val="en-US" w:eastAsia="zh-CN"/>
        </w:rPr>
        <w:t>.四平市《行政事业单位国有资产处置管理办法》相关规定。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华文楷体" w:hAnsi="华文楷体" w:eastAsia="华文楷体" w:cs="华文楷体"/>
          <w:b w:val="0"/>
          <w:bCs w:val="0"/>
          <w:sz w:val="32"/>
          <w:szCs w:val="32"/>
          <w:lang w:val="en-US" w:eastAsia="zh-CN"/>
        </w:rPr>
      </w:pPr>
      <w:r>
        <w:rPr>
          <w:rFonts w:hint="default" w:ascii="华文楷体" w:hAnsi="华文楷体" w:eastAsia="华文楷体" w:cs="华文楷体"/>
          <w:b w:val="0"/>
          <w:bCs w:val="0"/>
          <w:sz w:val="32"/>
          <w:szCs w:val="32"/>
          <w:lang w:val="en-US" w:eastAsia="zh-CN"/>
        </w:rPr>
        <w:t>（</w:t>
      </w:r>
      <w:r>
        <w:rPr>
          <w:rFonts w:hint="eastAsia" w:ascii="华文楷体" w:hAnsi="华文楷体" w:eastAsia="华文楷体" w:cs="华文楷体"/>
          <w:b w:val="0"/>
          <w:bCs w:val="0"/>
          <w:sz w:val="32"/>
          <w:szCs w:val="32"/>
          <w:lang w:val="en-US" w:eastAsia="zh-CN"/>
        </w:rPr>
        <w:t>二</w:t>
      </w:r>
      <w:r>
        <w:rPr>
          <w:rFonts w:hint="default" w:ascii="华文楷体" w:hAnsi="华文楷体" w:eastAsia="华文楷体" w:cs="华文楷体"/>
          <w:b w:val="0"/>
          <w:bCs w:val="0"/>
          <w:sz w:val="32"/>
          <w:szCs w:val="32"/>
          <w:lang w:val="en-US" w:eastAsia="zh-CN"/>
        </w:rPr>
        <w:t>）资产重组</w:t>
      </w:r>
      <w:r>
        <w:rPr>
          <w:rFonts w:hint="eastAsia" w:ascii="华文楷体" w:hAnsi="华文楷体" w:eastAsia="华文楷体" w:cs="华文楷体"/>
          <w:b w:val="0"/>
          <w:bCs w:val="0"/>
          <w:sz w:val="32"/>
          <w:szCs w:val="32"/>
          <w:lang w:val="en-US" w:eastAsia="zh-CN"/>
        </w:rPr>
        <w:t>、注资</w:t>
      </w:r>
      <w:r>
        <w:rPr>
          <w:rFonts w:hint="default" w:ascii="华文楷体" w:hAnsi="华文楷体" w:eastAsia="华文楷体" w:cs="华文楷体"/>
          <w:b w:val="0"/>
          <w:bCs w:val="0"/>
          <w:sz w:val="32"/>
          <w:szCs w:val="32"/>
          <w:lang w:val="en-US" w:eastAsia="zh-CN"/>
        </w:rPr>
        <w:t>涉税业务方面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企业所得税：《财政部 国家税务总局关于促进企业重组有关企业所得税处理问题的通知》（财税〔2014〕109号）、《国家税务总局关于资产（股权）划转企业所得税征管问题的公告》（国家税务总局公告2015年第40号），核心适用同一或相同多家居民企业100%直接控制的居民企业之间按账面净值划转股权或资产特殊性税务处理相关条款；《国家税务总局关于企业所得税应纳税所得额若干问题的公告》（国家税务总局公告2014年第29号）第一条第（一）款</w:t>
      </w:r>
      <w:r>
        <w:rPr>
          <w:rFonts w:hint="eastAsia" w:ascii="仿宋_GB2312" w:hAnsi="仿宋_GB2312" w:eastAsia="仿宋_GB2312" w:cs="仿宋_GB2312"/>
          <w:sz w:val="32"/>
          <w:szCs w:val="32"/>
          <w:lang w:val="en-US" w:eastAsia="zh-CN"/>
        </w:rPr>
        <w:t>，县级以上人民政府及其有关部门将国有资产作为股权投资划入企业，属于政策性划转（投资）行为，按现行企业所得税规定，不属于收入范畴，因此，企业应将其作为国家资本金进行企业所得税处理。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增值税：《财政部 国家税务总局关于增值税进项税额抵扣等有关事项的公告》（财税〔2026〕13号），核心适用不征收增值税项目相关条款；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契税：《财政部 税务总局关于继续实施企业、事业单位改制重组有关契税政策的公告》（财政部 税务总局公告2023年第49号），核心适用同一投资主体内部所属企业之间土地、房屋权属的划转免征契税相关条款；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土地增值税：《财政部 税务总局关于继续实施企业改制重组有关土地增值税政策的公告》（财政部 税务总局公告2023年第51号）、《中华人民共和国土地增值税暂行条例》及其实施细则，核心适用非房地产开发企业内部重组房地产暂不征收土地增值税相关条款；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印花税：《财政部 税务总局关于企业改制重组及事业单位改制有关印花税政策的公告》（财政部 税务总局公告2024年第14号），核心适用对同一投资主体内部划转土地使用权、房屋等建筑物和构筑物所有权、股权书立的产权转移书据免征印花税相关条款</w:t>
      </w:r>
      <w:r>
        <w:rPr>
          <w:rFonts w:hint="eastAsia" w:ascii="仿宋_GB2312" w:hAnsi="仿宋_GB2312" w:eastAsia="仿宋_GB2312" w:cs="仿宋_GB2312"/>
          <w:sz w:val="32"/>
          <w:szCs w:val="32"/>
          <w:lang w:val="en-US" w:eastAsia="zh-CN"/>
        </w:rPr>
        <w:t>，但实收资本和资本公积合计金额增加的部分，需缴纳营业账簿印花税（税率为万分之二点五）。</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黑体" w:hAnsi="黑体" w:eastAsia="黑体" w:cs="黑体"/>
          <w:b/>
          <w:bCs/>
          <w:sz w:val="32"/>
          <w:szCs w:val="32"/>
          <w:lang w:val="en-US" w:eastAsia="zh-CN"/>
        </w:rPr>
      </w:pPr>
      <w:r>
        <w:rPr>
          <w:rFonts w:hint="default" w:ascii="黑体" w:hAnsi="黑体" w:eastAsia="黑体" w:cs="黑体"/>
          <w:b/>
          <w:bCs/>
          <w:sz w:val="32"/>
          <w:szCs w:val="32"/>
          <w:lang w:val="en-US" w:eastAsia="zh-CN"/>
        </w:rPr>
        <w:t>五、一揽子重组事项决策及审批流程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将本次全部股权调整、资产重组、</w:t>
      </w:r>
      <w:r>
        <w:rPr>
          <w:rFonts w:hint="eastAsia" w:ascii="仿宋_GB2312" w:hAnsi="仿宋_GB2312" w:eastAsia="仿宋_GB2312" w:cs="仿宋_GB2312"/>
          <w:sz w:val="32"/>
          <w:szCs w:val="32"/>
          <w:lang w:val="en-US" w:eastAsia="zh-CN"/>
        </w:rPr>
        <w:t>资产注资、</w:t>
      </w:r>
      <w:r>
        <w:rPr>
          <w:rFonts w:hint="default" w:ascii="仿宋_GB2312" w:hAnsi="仿宋_GB2312" w:eastAsia="仿宋_GB2312" w:cs="仿宋_GB2312"/>
          <w:sz w:val="32"/>
          <w:szCs w:val="32"/>
          <w:lang w:val="en-US" w:eastAsia="zh-CN"/>
        </w:rPr>
        <w:t>吸收合并、主体注销事项整合为一套完整的请示文件，提报至履行出资人职责机构或代理履行出资人职责机构审议，审议后呈报至市政府常务会议进行审议。市政府常务会议的正式审议意见，作为本次全部重组事项实施的法定依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本审批流程严格遵循《中华人民共和国企业国有资产法》第三十一条、第三十四条，以及《企业国有资产监督管理暂行条例》第二十条、第二十一条，提升重组实施效率。</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黑体" w:hAnsi="黑体" w:eastAsia="黑体" w:cs="黑体"/>
          <w:b/>
          <w:bCs/>
          <w:sz w:val="32"/>
          <w:szCs w:val="32"/>
          <w:lang w:val="en-US" w:eastAsia="zh-CN"/>
        </w:rPr>
      </w:pPr>
      <w:r>
        <w:rPr>
          <w:rFonts w:hint="eastAsia" w:ascii="黑体" w:hAnsi="黑体" w:eastAsia="黑体" w:cs="黑体"/>
          <w:b/>
          <w:bCs/>
          <w:sz w:val="32"/>
          <w:szCs w:val="32"/>
          <w:lang w:val="en-US" w:eastAsia="zh-CN"/>
        </w:rPr>
        <w:t>六、</w:t>
      </w:r>
      <w:r>
        <w:rPr>
          <w:rFonts w:hint="default" w:ascii="黑体" w:hAnsi="黑体" w:eastAsia="黑体" w:cs="黑体"/>
          <w:b/>
          <w:bCs/>
          <w:sz w:val="32"/>
          <w:szCs w:val="32"/>
          <w:lang w:val="en-US" w:eastAsia="zh-CN"/>
        </w:rPr>
        <w:t>企业重组具体实施步骤</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华文楷体" w:hAnsi="华文楷体" w:eastAsia="华文楷体" w:cs="华文楷体"/>
          <w:b w:val="0"/>
          <w:bCs w:val="0"/>
          <w:sz w:val="32"/>
          <w:szCs w:val="32"/>
          <w:lang w:val="en-US" w:eastAsia="zh-CN"/>
        </w:rPr>
      </w:pPr>
      <w:r>
        <w:rPr>
          <w:rFonts w:hint="default" w:ascii="华文楷体" w:hAnsi="华文楷体" w:eastAsia="华文楷体" w:cs="华文楷体"/>
          <w:b w:val="0"/>
          <w:bCs w:val="0"/>
          <w:sz w:val="32"/>
          <w:szCs w:val="32"/>
          <w:lang w:val="en-US" w:eastAsia="zh-CN"/>
        </w:rPr>
        <w:t>（一）前置合规准备工作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本阶段为全部重组事项落地奠定合规基础，所有工作同步并行开展：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完成全</w:t>
      </w:r>
      <w:r>
        <w:rPr>
          <w:rFonts w:hint="eastAsia" w:ascii="仿宋_GB2312" w:hAnsi="仿宋_GB2312" w:eastAsia="仿宋_GB2312" w:cs="仿宋_GB2312"/>
          <w:sz w:val="32"/>
          <w:szCs w:val="32"/>
          <w:lang w:val="en-US" w:eastAsia="zh-CN"/>
        </w:rPr>
        <w:t>部</w:t>
      </w:r>
      <w:r>
        <w:rPr>
          <w:rFonts w:hint="default" w:ascii="仿宋_GB2312" w:hAnsi="仿宋_GB2312" w:eastAsia="仿宋_GB2312" w:cs="仿宋_GB2312"/>
          <w:sz w:val="32"/>
          <w:szCs w:val="32"/>
          <w:lang w:val="en-US" w:eastAsia="zh-CN"/>
        </w:rPr>
        <w:t>主体内部决策程序。根据国有企业“三重一大”决策制度及国有资产交易合规实操指引，国有及国有控股企业实施重大重组事项，应先召开党委会审议，形成书面意见后，再提交董事会/股东会审议，党委会审议意见作为董事会决策的前置条件。本次重组涉及的交投集团、机场公司、四发集团、水投公司、城投公司、产投公司、商贸公司，各主体按照“党委前置研究—董事会/股东会审议”的顺序履行内部决策程序，出具同意本次一揽子重组事项的书面内部决议，确保重组事项符合各主体公司章程要求。涉及职工安置相关事项的，提前编制职工安置方案，履行职工代表大会审议程序并形成书面决议。</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highlight w:val="none"/>
          <w:u w:val="none"/>
          <w:lang w:val="en-US" w:eastAsia="zh-CN"/>
        </w:rPr>
        <w:t>2.</w:t>
      </w:r>
      <w:r>
        <w:rPr>
          <w:rFonts w:ascii="仿宋_GB2312" w:hAnsi="仿宋_GB2312" w:eastAsia="仿宋_GB2312" w:cs="仿宋_GB2312"/>
          <w:sz w:val="32"/>
          <w:szCs w:val="32"/>
          <w:highlight w:val="none"/>
          <w:u w:val="none"/>
        </w:rPr>
        <w:t>完成</w:t>
      </w:r>
      <w:r>
        <w:rPr>
          <w:rFonts w:hint="eastAsia" w:ascii="仿宋_GB2312" w:hAnsi="仿宋_GB2312" w:eastAsia="仿宋_GB2312" w:cs="仿宋_GB2312"/>
          <w:sz w:val="32"/>
          <w:szCs w:val="32"/>
          <w:highlight w:val="none"/>
          <w:u w:val="none"/>
          <w:lang w:val="en-US" w:eastAsia="zh-CN"/>
        </w:rPr>
        <w:t>市</w:t>
      </w:r>
      <w:r>
        <w:rPr>
          <w:rFonts w:ascii="仿宋_GB2312" w:hAnsi="仿宋_GB2312" w:eastAsia="仿宋_GB2312" w:cs="仿宋_GB2312"/>
          <w:sz w:val="32"/>
          <w:szCs w:val="32"/>
          <w:highlight w:val="none"/>
          <w:u w:val="none"/>
        </w:rPr>
        <w:t>交通</w:t>
      </w:r>
      <w:r>
        <w:rPr>
          <w:rFonts w:hint="eastAsia" w:ascii="仿宋_GB2312" w:hAnsi="仿宋_GB2312" w:eastAsia="仿宋_GB2312" w:cs="仿宋_GB2312"/>
          <w:sz w:val="32"/>
          <w:szCs w:val="32"/>
          <w:highlight w:val="none"/>
          <w:u w:val="none"/>
          <w:lang w:val="en-US" w:eastAsia="zh-CN"/>
        </w:rPr>
        <w:t>运输</w:t>
      </w:r>
      <w:r>
        <w:rPr>
          <w:rFonts w:ascii="仿宋_GB2312" w:hAnsi="仿宋_GB2312" w:eastAsia="仿宋_GB2312" w:cs="仿宋_GB2312"/>
          <w:sz w:val="32"/>
          <w:szCs w:val="32"/>
          <w:highlight w:val="none"/>
          <w:u w:val="none"/>
        </w:rPr>
        <w:t>局</w:t>
      </w:r>
      <w:r>
        <w:rPr>
          <w:rFonts w:hint="eastAsia" w:ascii="仿宋_GB2312" w:hAnsi="仿宋_GB2312" w:eastAsia="仿宋_GB2312" w:cs="仿宋_GB2312"/>
          <w:sz w:val="32"/>
          <w:szCs w:val="32"/>
          <w:highlight w:val="none"/>
          <w:u w:val="none"/>
          <w:lang w:val="en-US" w:eastAsia="zh-CN"/>
        </w:rPr>
        <w:t>及所属事业单位交通类非公益性资产注资</w:t>
      </w:r>
      <w:r>
        <w:rPr>
          <w:rFonts w:ascii="仿宋_GB2312" w:hAnsi="仿宋_GB2312" w:eastAsia="仿宋_GB2312" w:cs="仿宋_GB2312"/>
          <w:sz w:val="32"/>
          <w:szCs w:val="32"/>
          <w:highlight w:val="none"/>
          <w:u w:val="none"/>
        </w:rPr>
        <w:t>前置准备工作</w:t>
      </w:r>
      <w:r>
        <w:rPr>
          <w:rFonts w:hint="eastAsia" w:ascii="仿宋_GB2312" w:hAnsi="仿宋_GB2312" w:eastAsia="仿宋_GB2312" w:cs="仿宋_GB2312"/>
          <w:sz w:val="32"/>
          <w:szCs w:val="32"/>
          <w:highlight w:val="none"/>
          <w:u w:val="none"/>
        </w:rPr>
        <w:t>，包括资产清查、权属确认、</w:t>
      </w:r>
      <w:r>
        <w:rPr>
          <w:rFonts w:hint="eastAsia" w:ascii="仿宋_GB2312" w:hAnsi="仿宋_GB2312" w:eastAsia="仿宋_GB2312" w:cs="仿宋_GB2312"/>
          <w:sz w:val="32"/>
          <w:szCs w:val="32"/>
          <w:highlight w:val="none"/>
          <w:u w:val="none"/>
          <w:lang w:val="en-US" w:eastAsia="zh-CN"/>
        </w:rPr>
        <w:t>性质确认（非公益性）、</w:t>
      </w:r>
      <w:r>
        <w:rPr>
          <w:rFonts w:hint="eastAsia" w:ascii="仿宋_GB2312" w:hAnsi="仿宋_GB2312" w:eastAsia="仿宋_GB2312" w:cs="仿宋_GB2312"/>
          <w:sz w:val="32"/>
          <w:szCs w:val="32"/>
          <w:highlight w:val="none"/>
          <w:u w:val="none"/>
        </w:rPr>
        <w:t>账外资产入账等，具体工作内容及要求详见第六条第（五）款</w:t>
      </w:r>
      <w:r>
        <w:rPr>
          <w:rFonts w:hint="eastAsia" w:ascii="仿宋_GB2312" w:hAnsi="仿宋_GB2312" w:eastAsia="仿宋_GB2312" w:cs="仿宋_GB2312"/>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前置解决两项核心合规风险。一方面，将城投公司由四发集团+水投公司绝对控股，调整为四发集团100%全资子公司，解决国有控股企业</w:t>
      </w:r>
      <w:r>
        <w:rPr>
          <w:rFonts w:hint="eastAsia" w:ascii="仿宋_GB2312" w:hAnsi="仿宋_GB2312" w:eastAsia="仿宋_GB2312" w:cs="仿宋_GB2312"/>
          <w:sz w:val="32"/>
          <w:szCs w:val="32"/>
          <w:lang w:val="en-US" w:eastAsia="zh-CN"/>
        </w:rPr>
        <w:t>重组</w:t>
      </w:r>
      <w:r>
        <w:rPr>
          <w:rFonts w:hint="default" w:ascii="仿宋_GB2312" w:hAnsi="仿宋_GB2312" w:eastAsia="仿宋_GB2312" w:cs="仿宋_GB2312"/>
          <w:sz w:val="32"/>
          <w:szCs w:val="32"/>
          <w:lang w:val="en-US" w:eastAsia="zh-CN"/>
        </w:rPr>
        <w:t>的主体资格限制问题，确保后续重组事项符合规定；另一方面，各转出方应就本次重组事项通知本企业全部债权人，并制订整体债务处置方案。以及由交投集团、产投公司联合向交通大厦抵押权人吉林银行发函，说明本次重组为同一控制下国有企业内部资产整合，明确资产重组后抵押主体同步变更、全部</w:t>
      </w:r>
      <w:r>
        <w:rPr>
          <w:rFonts w:hint="eastAsia" w:ascii="仿宋_GB2312" w:hAnsi="仿宋_GB2312" w:eastAsia="仿宋_GB2312" w:cs="仿宋_GB2312"/>
          <w:sz w:val="32"/>
          <w:szCs w:val="32"/>
          <w:highlight w:val="none"/>
          <w:lang w:val="en-US" w:eastAsia="zh-CN"/>
        </w:rPr>
        <w:t>关联</w:t>
      </w:r>
      <w:r>
        <w:rPr>
          <w:rFonts w:hint="default" w:ascii="仿宋_GB2312" w:hAnsi="仿宋_GB2312" w:eastAsia="仿宋_GB2312" w:cs="仿宋_GB2312"/>
          <w:sz w:val="32"/>
          <w:szCs w:val="32"/>
          <w:highlight w:val="none"/>
          <w:lang w:val="en-US" w:eastAsia="zh-CN"/>
        </w:rPr>
        <w:t>债权债务</w:t>
      </w:r>
      <w:r>
        <w:rPr>
          <w:rFonts w:hint="default" w:ascii="仿宋_GB2312" w:hAnsi="仿宋_GB2312" w:eastAsia="仿宋_GB2312" w:cs="仿宋_GB2312"/>
          <w:sz w:val="32"/>
          <w:szCs w:val="32"/>
          <w:lang w:val="en-US" w:eastAsia="zh-CN"/>
        </w:rPr>
        <w:t>全额承接</w:t>
      </w:r>
      <w:r>
        <w:rPr>
          <w:rFonts w:hint="eastAsia" w:ascii="仿宋_GB2312" w:hAnsi="仿宋_GB2312" w:eastAsia="仿宋_GB2312" w:cs="仿宋_GB2312"/>
          <w:sz w:val="32"/>
          <w:szCs w:val="32"/>
          <w:lang w:val="en-US" w:eastAsia="zh-CN"/>
        </w:rPr>
        <w:t>，并</w:t>
      </w:r>
      <w:r>
        <w:rPr>
          <w:rFonts w:hint="default" w:ascii="仿宋_GB2312" w:hAnsi="仿宋_GB2312" w:eastAsia="仿宋_GB2312" w:cs="仿宋_GB2312"/>
          <w:sz w:val="32"/>
          <w:szCs w:val="32"/>
          <w:lang w:val="en-US" w:eastAsia="zh-CN"/>
        </w:rPr>
        <w:t>提前取得吉林银行出具的同意资产重组及抵押变更的书面确认函。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提前锁定</w:t>
      </w:r>
      <w:r>
        <w:rPr>
          <w:rFonts w:hint="eastAsia" w:ascii="仿宋_GB2312" w:hAnsi="仿宋_GB2312" w:eastAsia="仿宋_GB2312" w:cs="仿宋_GB2312"/>
          <w:sz w:val="32"/>
          <w:szCs w:val="32"/>
          <w:lang w:val="en-US" w:eastAsia="zh-CN"/>
        </w:rPr>
        <w:t>重组</w:t>
      </w:r>
      <w:r>
        <w:rPr>
          <w:rFonts w:hint="default" w:ascii="仿宋_GB2312" w:hAnsi="仿宋_GB2312" w:eastAsia="仿宋_GB2312" w:cs="仿宋_GB2312"/>
          <w:sz w:val="32"/>
          <w:szCs w:val="32"/>
          <w:lang w:val="en-US" w:eastAsia="zh-CN"/>
        </w:rPr>
        <w:t>标的损益归属与债务承担核心条款。针对本次全部股权划转、资产重组及吸收合并事项，提前在协议文本中明确审计基准日、交割日的权责划分，书面锁定审计基准日至交割日期间的损益归属，以及划转重组前后全部债务（含或有负债、抵押担保）的承担主体、时间节点与处置方案，确保所有重组事项的权责清晰、无争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编制全套报审支撑文件，确保报审材料符合市财政局审批要求。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6.税务备案前置，在资产过户前，必须向主管税务机关提交特殊性税务处理备案资料，并取得税务机关的受理回执或确认函。严禁在未获得税务确认的情况下擅自进行资产评估增值或开具增值税发票，防止产生巨额税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华文楷体" w:hAnsi="华文楷体" w:eastAsia="华文楷体" w:cs="华文楷体"/>
          <w:b w:val="0"/>
          <w:bCs w:val="0"/>
          <w:sz w:val="32"/>
          <w:szCs w:val="32"/>
          <w:lang w:val="en-US" w:eastAsia="zh-CN"/>
        </w:rPr>
      </w:pPr>
      <w:r>
        <w:rPr>
          <w:rFonts w:hint="default" w:ascii="华文楷体" w:hAnsi="华文楷体" w:eastAsia="华文楷体" w:cs="华文楷体"/>
          <w:b w:val="0"/>
          <w:bCs w:val="0"/>
          <w:sz w:val="32"/>
          <w:szCs w:val="32"/>
          <w:lang w:val="en-US" w:eastAsia="zh-CN"/>
        </w:rPr>
        <w:t>（二）股权调整实施步骤</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按职责分工，</w:t>
      </w:r>
      <w:r>
        <w:rPr>
          <w:rFonts w:hint="default" w:ascii="仿宋_GB2312" w:hAnsi="仿宋_GB2312" w:eastAsia="仿宋_GB2312" w:cs="仿宋_GB2312"/>
          <w:sz w:val="32"/>
          <w:szCs w:val="32"/>
          <w:lang w:val="en-US" w:eastAsia="zh-CN"/>
        </w:rPr>
        <w:t>取得市财政局</w:t>
      </w:r>
      <w:r>
        <w:rPr>
          <w:rFonts w:hint="eastAsia" w:ascii="仿宋_GB2312" w:hAnsi="仿宋_GB2312" w:eastAsia="仿宋_GB2312" w:cs="仿宋_GB2312"/>
          <w:sz w:val="32"/>
          <w:szCs w:val="32"/>
          <w:lang w:val="en-US" w:eastAsia="zh-CN"/>
        </w:rPr>
        <w:t>或市国资委</w:t>
      </w:r>
      <w:r>
        <w:rPr>
          <w:rFonts w:hint="default" w:ascii="仿宋_GB2312" w:hAnsi="仿宋_GB2312" w:eastAsia="仿宋_GB2312" w:cs="仿宋_GB2312"/>
          <w:sz w:val="32"/>
          <w:szCs w:val="32"/>
          <w:lang w:val="en-US" w:eastAsia="zh-CN"/>
        </w:rPr>
        <w:t>正式批复后，同步开展两项股权调整工作，完成全部股权变更事项。本次两项股权调整属于市财政局同一最终控制主体下的国有产权无偿划转，不涉及有偿转让。</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交投集团股权调整：由</w:t>
      </w:r>
      <w:r>
        <w:rPr>
          <w:rFonts w:hint="eastAsia" w:ascii="仿宋_GB2312" w:hAnsi="仿宋_GB2312" w:eastAsia="仿宋_GB2312" w:cs="仿宋_GB2312"/>
          <w:sz w:val="32"/>
          <w:szCs w:val="32"/>
          <w:lang w:val="en-US" w:eastAsia="zh-CN"/>
        </w:rPr>
        <w:t>产投</w:t>
      </w:r>
      <w:r>
        <w:rPr>
          <w:rFonts w:hint="default" w:ascii="仿宋_GB2312" w:hAnsi="仿宋_GB2312" w:eastAsia="仿宋_GB2312" w:cs="仿宋_GB2312"/>
          <w:sz w:val="32"/>
          <w:szCs w:val="32"/>
          <w:lang w:val="en-US" w:eastAsia="zh-CN"/>
        </w:rPr>
        <w:t>公司自行规划划转路径，将其持有的交投集团10.63%股权完成无偿划转，最终实现市财政局对交投集团100%持股，将交投集团调整为市财政局100%国有独资公司。</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产投公司股权调整：</w:t>
      </w:r>
      <w:r>
        <w:rPr>
          <w:rFonts w:hint="eastAsia" w:ascii="仿宋_GB2312" w:hAnsi="仿宋_GB2312" w:eastAsia="仿宋_GB2312" w:cs="仿宋_GB2312"/>
          <w:sz w:val="32"/>
          <w:szCs w:val="32"/>
          <w:highlight w:val="none"/>
          <w:lang w:val="en-US" w:eastAsia="zh-CN"/>
        </w:rPr>
        <w:t>四发集团</w:t>
      </w:r>
      <w:r>
        <w:rPr>
          <w:rFonts w:hint="default" w:ascii="仿宋_GB2312" w:hAnsi="仿宋_GB2312" w:eastAsia="仿宋_GB2312" w:cs="仿宋_GB2312"/>
          <w:sz w:val="32"/>
          <w:szCs w:val="32"/>
          <w:highlight w:val="none"/>
          <w:lang w:val="en-US" w:eastAsia="zh-CN"/>
        </w:rPr>
        <w:t>将其持有的产投公司100%股权无偿划转</w:t>
      </w:r>
      <w:r>
        <w:rPr>
          <w:rFonts w:hint="eastAsia" w:ascii="仿宋_GB2312" w:hAnsi="仿宋_GB2312" w:eastAsia="仿宋_GB2312" w:cs="仿宋_GB2312"/>
          <w:sz w:val="32"/>
          <w:szCs w:val="32"/>
          <w:highlight w:val="none"/>
          <w:lang w:val="en-US" w:eastAsia="zh-CN"/>
        </w:rPr>
        <w:t>至市财政局</w:t>
      </w:r>
      <w:r>
        <w:rPr>
          <w:rFonts w:hint="default" w:ascii="仿宋_GB2312" w:hAnsi="仿宋_GB2312" w:eastAsia="仿宋_GB2312" w:cs="仿宋_GB2312"/>
          <w:sz w:val="32"/>
          <w:szCs w:val="32"/>
          <w:highlight w:val="none"/>
          <w:lang w:val="en-US" w:eastAsia="zh-CN"/>
        </w:rPr>
        <w:t>，实现产投公司变更为市财政局100%国有独资企业。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变更登记办理：完成股权划转后，同步办理工商变更登记与国有产权变更登记，确保股权调整事项落地闭环。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华文楷体" w:hAnsi="华文楷体" w:eastAsia="华文楷体" w:cs="华文楷体"/>
          <w:b w:val="0"/>
          <w:bCs w:val="0"/>
          <w:sz w:val="32"/>
          <w:szCs w:val="32"/>
          <w:lang w:val="en-US" w:eastAsia="zh-CN"/>
        </w:rPr>
      </w:pPr>
      <w:r>
        <w:rPr>
          <w:rFonts w:hint="default" w:ascii="华文楷体" w:hAnsi="华文楷体" w:eastAsia="华文楷体" w:cs="华文楷体"/>
          <w:b w:val="0"/>
          <w:bCs w:val="0"/>
          <w:sz w:val="32"/>
          <w:szCs w:val="32"/>
          <w:lang w:val="en-US" w:eastAsia="zh-CN"/>
        </w:rPr>
        <w:t>（三）资产重组实施步骤</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股权调整事项实施的同时，并行开展两项资产重组工作，各单位配合完成资产过户事项，两项资产重组均属于同一最终控制主体下的国有资产重组。两项资产重组的定价以专项审计报告确认的账面净值为基础确定，不进行评估增值</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滨河家园小区房产：将滨河家园小区432套房产及配套设施，连同相关的全部应收债权、应付负债，以及专门负责小区管理运维的员工打包组成完整资产包，重组至水投公司，实现</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资产-债权-负债-人员</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一体化承接。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交通大厦：待产投公司完成市财政局100%国有独资的股权调整后，正式启动交通大厦重组工作。将交通大厦全部房产及配套设施设备，连同相关的全部应收债权、应付负债（含吉林银行抵押债务），以及专门负责大厦物业、安保、运维的员工打包组成完整资产包，重组至产投公司，同步办理抵押权变更登记，实现</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资产-抵押-债权-负债-人员</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一体化承接。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落地执行：双方签订正式的《国有资产重组协议》，逐笔梳理全部关联债权人清单，按照债务金额和重要程度分级管理，优先取得金融债权人书面同意函；对于小额债权人，可通过公告方式履行通知义务，但应在重组协议中明确债务承接关系，完成不动产变更登记、国有资产产权登记、税务备案及账务调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华文楷体" w:hAnsi="华文楷体" w:eastAsia="华文楷体" w:cs="华文楷体"/>
          <w:b w:val="0"/>
          <w:bCs w:val="0"/>
          <w:sz w:val="32"/>
          <w:szCs w:val="32"/>
          <w:lang w:val="en-US" w:eastAsia="zh-CN"/>
        </w:rPr>
      </w:pPr>
      <w:r>
        <w:rPr>
          <w:rFonts w:hint="default" w:ascii="华文楷体" w:hAnsi="华文楷体" w:eastAsia="华文楷体" w:cs="华文楷体"/>
          <w:b w:val="0"/>
          <w:bCs w:val="0"/>
          <w:sz w:val="32"/>
          <w:szCs w:val="32"/>
          <w:lang w:val="en-US" w:eastAsia="zh-CN"/>
        </w:rPr>
        <w:t>（四）主体吸收合并与注销实施步骤</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资产重组与股权调整实施的同时，并行开展主体吸收合并与注销工作，全部注销事项在公告期满后推进办结。</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交投集团吸收合并机场公司：由交投集团吸收合并机场公司，合并后机场公司注销，全部资产、负债、人员、业务由交投集团承接，交投集团纳入参照副处级管理的企业。具体操作步骤：</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（1）取得市</w:t>
      </w:r>
      <w:r>
        <w:rPr>
          <w:rFonts w:hint="default" w:ascii="仿宋_GB2312" w:hAnsi="仿宋_GB2312" w:eastAsia="仿宋_GB2312" w:cs="仿宋_GB2312"/>
          <w:b w:val="0"/>
          <w:bCs w:val="0"/>
          <w:sz w:val="32"/>
          <w:szCs w:val="32"/>
          <w:lang w:val="en-US" w:eastAsia="zh-CN"/>
        </w:rPr>
        <w:t>财政局</w:t>
      </w:r>
      <w:r>
        <w:rPr>
          <w:rFonts w:hint="eastAsia" w:ascii="仿宋_GB2312" w:hAnsi="仿宋_GB2312" w:eastAsia="仿宋_GB2312" w:cs="仿宋_GB2312"/>
          <w:b w:val="0"/>
          <w:bCs w:val="0"/>
          <w:sz w:val="32"/>
          <w:szCs w:val="32"/>
          <w:lang w:val="en-US" w:eastAsia="zh-CN"/>
        </w:rPr>
        <w:t>或市国资委</w:t>
      </w:r>
      <w:r>
        <w:rPr>
          <w:rFonts w:hint="default" w:ascii="仿宋_GB2312" w:hAnsi="仿宋_GB2312" w:eastAsia="仿宋_GB2312" w:cs="仿宋_GB2312"/>
          <w:sz w:val="32"/>
          <w:szCs w:val="32"/>
          <w:lang w:val="en-US" w:eastAsia="zh-CN"/>
        </w:rPr>
        <w:t>出具的本次吸收合并的正式批复；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（2）交投集团与机场公司签订吸收合并协议，在签订合并协议前完成</w:t>
      </w:r>
      <w:r>
        <w:rPr>
          <w:rFonts w:hint="eastAsia" w:ascii="仿宋_GB2312" w:hAnsi="仿宋_GB2312" w:eastAsia="仿宋_GB2312" w:cs="仿宋_GB2312"/>
          <w:sz w:val="32"/>
          <w:szCs w:val="32"/>
          <w:lang w:val="en-US" w:eastAsia="zh-CN"/>
        </w:rPr>
        <w:t>前</w:t>
      </w:r>
      <w:r>
        <w:rPr>
          <w:rFonts w:hint="default" w:ascii="仿宋_GB2312" w:hAnsi="仿宋_GB2312" w:eastAsia="仿宋_GB2312" w:cs="仿宋_GB2312"/>
          <w:sz w:val="32"/>
          <w:szCs w:val="32"/>
          <w:lang w:val="en-US" w:eastAsia="zh-CN"/>
        </w:rPr>
        <w:t>编制资产负债表及财产清单，明确合并后债权债务承接、职工安置等核心事项；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（3）自合并决议作出之日起10日内通知债权人，并于30日内在国家企业信用信息公示系统发布债权人公告，公告期限不少于45日；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zh-CN"/>
        </w:rPr>
        <w:t>）在</w:t>
      </w:r>
      <w:r>
        <w:rPr>
          <w:rFonts w:hint="default" w:ascii="仿宋_GB2312" w:hAnsi="仿宋_GB2312" w:eastAsia="仿宋_GB2312" w:cs="仿宋_GB2312"/>
          <w:sz w:val="32"/>
          <w:szCs w:val="32"/>
          <w:lang w:val="en-US" w:eastAsia="zh-CN"/>
        </w:rPr>
        <w:t>公告期内完成职工安置方案的落地执行，确保职工权益足额保障；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（5）向主管税务机关办理企业所得税特殊性税务处理备案；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（6）公告期满且无异议后，办理机场公司的工商注销登记，同步办理交投集团的工商变更登记，以及合并涉及的房产、土地、国有产权变更登记。吸收合并完成后，交投集团的公司章程须相应修订。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商贸公司划转调整：交投集团将其持有的商贸公司100%股权无偿划转给城投公司，签订股权无偿划转协议，完成工商变更、产权登记等相关手续，实现商贸公司的划转目标，完成对应债务的统一归集</w:t>
      </w:r>
      <w:r>
        <w:rPr>
          <w:rFonts w:hint="eastAsia" w:ascii="仿宋_GB2312" w:hAnsi="仿宋_GB2312" w:eastAsia="仿宋_GB2312" w:cs="仿宋_GB2312"/>
          <w:sz w:val="32"/>
          <w:szCs w:val="32"/>
          <w:lang w:val="en-US" w:eastAsia="zh-CN"/>
        </w:rPr>
        <w:t>。商贸公司划转后，其原有债务（含吉林银行3.48亿元贷款）仍由商贸公司作为独立法人承担，不因股东变更而改变债务主体。</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华文楷体" w:hAnsi="华文楷体" w:eastAsia="华文楷体" w:cs="华文楷体"/>
          <w:sz w:val="32"/>
          <w:szCs w:val="32"/>
          <w:highlight w:val="none"/>
          <w:u w:val="none"/>
          <w:lang w:val="en-US" w:eastAsia="zh-CN"/>
        </w:rPr>
      </w:pPr>
      <w:r>
        <w:rPr>
          <w:rFonts w:hint="eastAsia" w:ascii="华文楷体" w:hAnsi="华文楷体" w:eastAsia="华文楷体" w:cs="华文楷体"/>
          <w:sz w:val="32"/>
          <w:szCs w:val="32"/>
          <w:highlight w:val="none"/>
          <w:u w:val="none"/>
          <w:lang w:val="en-US" w:eastAsia="zh-CN"/>
        </w:rPr>
        <w:t>（五）</w:t>
      </w:r>
      <w:r>
        <w:rPr>
          <w:rFonts w:hint="eastAsia" w:ascii="华文楷体" w:hAnsi="华文楷体" w:eastAsia="华文楷体" w:cs="华文楷体"/>
          <w:sz w:val="32"/>
          <w:szCs w:val="32"/>
          <w:highlight w:val="none"/>
        </w:rPr>
        <w:t>市交通运输局行政事业单位非公益性资产注资实施步骤</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本步骤与股权调整、资产重组、主体吸收合并工作同步并行开展，纳入统一的重组实施。</w:t>
      </w:r>
      <w:r>
        <w:rPr>
          <w:rFonts w:hint="eastAsia" w:ascii="仿宋_GB2312" w:hAnsi="仿宋_GB2312" w:eastAsia="仿宋_GB2312" w:cs="仿宋_GB2312"/>
          <w:sz w:val="32"/>
          <w:szCs w:val="32"/>
          <w:highlight w:val="none"/>
        </w:rPr>
        <w:t>本次资产划转性质为政府以非公益性资产对交投集团进行注资</w:t>
      </w:r>
      <w:r>
        <w:rPr>
          <w:rFonts w:hint="eastAsia" w:ascii="仿宋_GB2312" w:hAnsi="仿宋_GB2312" w:eastAsia="仿宋_GB2312" w:cs="仿宋_GB2312"/>
          <w:sz w:val="32"/>
          <w:szCs w:val="32"/>
          <w:highlight w:val="none"/>
          <w:u w:val="none"/>
          <w:lang w:eastAsia="zh-CN"/>
        </w:rPr>
        <w:t>。</w:t>
      </w:r>
      <w:r>
        <w:rPr>
          <w:rFonts w:hint="eastAsia" w:ascii="仿宋_GB2312" w:hAnsi="仿宋_GB2312" w:eastAsia="仿宋_GB2312" w:cs="仿宋_GB2312"/>
          <w:sz w:val="32"/>
          <w:szCs w:val="32"/>
          <w:highlight w:val="none"/>
        </w:rPr>
        <w:t>全部拟注资资产</w:t>
      </w:r>
      <w:r>
        <w:rPr>
          <w:rFonts w:hint="eastAsia" w:ascii="仿宋_GB2312" w:hAnsi="仿宋_GB2312" w:eastAsia="仿宋_GB2312" w:cs="仿宋_GB2312"/>
          <w:sz w:val="32"/>
          <w:szCs w:val="32"/>
          <w:highlight w:val="none"/>
          <w:lang w:val="en-US" w:eastAsia="zh-CN"/>
        </w:rPr>
        <w:t>需梳理甄别，</w:t>
      </w:r>
      <w:r>
        <w:rPr>
          <w:rFonts w:hint="eastAsia" w:ascii="仿宋_GB2312" w:hAnsi="仿宋_GB2312" w:eastAsia="仿宋_GB2312" w:cs="仿宋_GB2312"/>
          <w:sz w:val="32"/>
          <w:szCs w:val="32"/>
          <w:highlight w:val="none"/>
        </w:rPr>
        <w:t>逐项确认非公益性属性，严禁将政府公共基础设施、行政办公用房等公益性资产纳入注资范围。账外资产须在注资前完成产权确认和账务调整入账，确保注入资产全部为账内资产。注资完成后，交投集团应将注入资产纳入企业会计核算体系，按照企业会计准则进行后续计量和管理，资产处置、出租等经营活动须遵守国有企业资产管理相关规定。</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sz w:val="32"/>
          <w:szCs w:val="32"/>
          <w:highlight w:val="none"/>
        </w:rPr>
        <w:t>账外资产清理入账：由市交通运输局组织所属相关事业单位，对本次拟注资资产中涉及的账外资产进行全面清理核实，明确账外资产范围，由市交通运输局及所属事业单位在注资前依法办理产权登记手续，取得权属证书或权属证明文件；委托</w:t>
      </w:r>
      <w:r>
        <w:rPr>
          <w:rFonts w:hint="eastAsia" w:ascii="仿宋_GB2312" w:hAnsi="仿宋_GB2312" w:eastAsia="仿宋_GB2312" w:cs="仿宋_GB2312"/>
          <w:sz w:val="32"/>
          <w:szCs w:val="32"/>
          <w:highlight w:val="none"/>
          <w:lang w:val="en-US" w:eastAsia="zh-CN"/>
        </w:rPr>
        <w:t>第三方</w:t>
      </w:r>
      <w:r>
        <w:rPr>
          <w:rFonts w:hint="eastAsia" w:ascii="仿宋_GB2312" w:hAnsi="仿宋_GB2312" w:eastAsia="仿宋_GB2312" w:cs="仿宋_GB2312"/>
          <w:sz w:val="32"/>
          <w:szCs w:val="32"/>
          <w:highlight w:val="none"/>
        </w:rPr>
        <w:t>机构确认资产入账价值，完成账务调整，将账外资产纳入单位会计核算体系；确保账外资产入账后账实相符、账证相符，形成完整的资产清查报告。账外资产未完成入账前，不得启动后续注资程序。</w:t>
      </w:r>
    </w:p>
    <w:p>
      <w:pPr>
        <w:keepNext w:val="0"/>
        <w:keepLines w:val="0"/>
        <w:pageBreakBefore w:val="0"/>
        <w:widowControl w:val="0"/>
        <w:numPr>
          <w:ilvl w:val="-1"/>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rPr>
        <w:t>2.合规性认定：对于账外资产，除办理产权登记外，还需由自然资源、住建等部门出具合规性认定意见或暂缓处罚证明。对于确实无法办理产权证的资产（如部分匝道圈、危房），应在注资协议中明确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按现状注资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u w:val="none"/>
          <w:lang w:val="en-US" w:eastAsia="zh-CN"/>
        </w:rPr>
        <w:t>3.</w:t>
      </w:r>
      <w:r>
        <w:rPr>
          <w:rFonts w:hint="eastAsia" w:ascii="仿宋_GB2312" w:hAnsi="仿宋_GB2312" w:eastAsia="仿宋_GB2312" w:cs="仿宋_GB2312"/>
          <w:color w:val="000000"/>
          <w:sz w:val="32"/>
          <w:szCs w:val="32"/>
          <w:lang w:val="en-US" w:eastAsia="zh-CN"/>
        </w:rPr>
        <w:t>资产评估： 委托具备相应资质的第三方评估机构，对拟注资资产开展资产评估工作，出具资产评估报告，以评估报告确认的评估值作为注资金额的定价依据。其中，账外资产须在完成产权确认和账务调整入账后纳入评估范围。如需专项审计时须另行委托第三方机构完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.内部决策程序：市交通运输局及所属事业单位履行内部决策程序，</w:t>
      </w:r>
      <w:r>
        <w:rPr>
          <w:rFonts w:hint="eastAsia" w:ascii="仿宋_GB2312" w:hAnsi="仿宋_GB2312" w:eastAsia="仿宋_GB2312" w:cs="仿宋_GB2312"/>
          <w:sz w:val="32"/>
          <w:szCs w:val="32"/>
          <w:highlight w:val="none"/>
          <w:lang w:val="en-US" w:eastAsia="zh-CN"/>
        </w:rPr>
        <w:t>汇同相关部门</w:t>
      </w:r>
      <w:r>
        <w:rPr>
          <w:rFonts w:hint="eastAsia" w:ascii="仿宋_GB2312" w:hAnsi="仿宋_GB2312" w:eastAsia="仿宋_GB2312" w:cs="仿宋_GB2312"/>
          <w:sz w:val="32"/>
          <w:szCs w:val="32"/>
          <w:highlight w:val="none"/>
        </w:rPr>
        <w:t>对资产</w:t>
      </w:r>
      <w:r>
        <w:rPr>
          <w:rFonts w:hint="eastAsia" w:ascii="仿宋_GB2312" w:hAnsi="仿宋_GB2312" w:eastAsia="仿宋_GB2312" w:cs="仿宋_GB2312"/>
          <w:sz w:val="32"/>
          <w:szCs w:val="32"/>
          <w:highlight w:val="none"/>
          <w:lang w:val="en-US" w:eastAsia="zh-CN"/>
        </w:rPr>
        <w:t>是否符合注资条件</w:t>
      </w:r>
      <w:r>
        <w:rPr>
          <w:rFonts w:hint="eastAsia" w:ascii="仿宋_GB2312" w:hAnsi="仿宋_GB2312" w:eastAsia="仿宋_GB2312" w:cs="仿宋_GB2312"/>
          <w:sz w:val="32"/>
          <w:szCs w:val="32"/>
          <w:highlight w:val="none"/>
        </w:rPr>
        <w:t>进行确认，明确以注资方式将上述非公益性资产注入交投集团，注资金额以第三方评估机构出具的评估报告为准，出具同意注资的书面决议；涉及事业单位资产注资的，同步履行事业单位内部决策及主管部门审批程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5.协议签订：《方案》取得</w:t>
      </w:r>
      <w:r>
        <w:rPr>
          <w:rFonts w:hint="eastAsia" w:ascii="仿宋_GB2312" w:hAnsi="仿宋_GB2312" w:eastAsia="仿宋_GB2312" w:cs="仿宋_GB2312"/>
          <w:b w:val="0"/>
          <w:bCs w:val="0"/>
          <w:sz w:val="32"/>
          <w:szCs w:val="32"/>
          <w:highlight w:val="none"/>
          <w:u w:val="none"/>
          <w:lang w:val="en-US" w:eastAsia="zh-CN"/>
        </w:rPr>
        <w:t>市政府</w:t>
      </w:r>
      <w:r>
        <w:rPr>
          <w:rFonts w:hint="eastAsia" w:ascii="仿宋_GB2312" w:hAnsi="仿宋_GB2312" w:eastAsia="仿宋_GB2312" w:cs="仿宋_GB2312"/>
          <w:sz w:val="32"/>
          <w:szCs w:val="32"/>
          <w:highlight w:val="none"/>
          <w:u w:val="none"/>
          <w:lang w:val="en-US" w:eastAsia="zh-CN"/>
        </w:rPr>
        <w:t>正式批复后，由市财政局或市国资委审批注资事项，履行出资人职责机构与交投集团签订《国有资本注资协议》，协议中须明确注入资产的非公益性声明、注资金额以评估报告为准、注资方式，以及双方权利义务、资产交割时间、债权债务承担、人员安置、历史遗留问题解决等核心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6.资产交割与产权变更：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（1）按照注资协议约定，完成资产实物交割及相关资料移交；</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（2）逐笔通知相关债权人，取得债务转移的书面同意函（如有）；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（3）办理资产的权属变更登记手续，完善国有资产产权登记；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（4）完成从业人员劳动关系平移、薪酬社保接续等工作；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（5）办理税务优惠备案及账务调整手续。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highlight w:val="none"/>
          <w:u w:val="none"/>
        </w:rPr>
      </w:pPr>
      <w:r>
        <w:rPr>
          <w:rFonts w:hint="eastAsia" w:ascii="仿宋_GB2312" w:hAnsi="仿宋_GB2312" w:eastAsia="仿宋_GB2312" w:cs="仿宋_GB2312"/>
          <w:sz w:val="32"/>
          <w:szCs w:val="32"/>
          <w:highlight w:val="none"/>
          <w:u w:val="none"/>
          <w:lang w:val="en-US" w:eastAsia="zh-CN"/>
        </w:rPr>
        <w:t>7.</w:t>
      </w:r>
      <w:r>
        <w:rPr>
          <w:rFonts w:hint="eastAsia" w:ascii="仿宋_GB2312" w:hAnsi="仿宋_GB2312" w:eastAsia="仿宋_GB2312" w:cs="仿宋_GB2312"/>
          <w:sz w:val="32"/>
          <w:szCs w:val="32"/>
          <w:highlight w:val="none"/>
        </w:rPr>
        <w:t>注资账务处理：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highlight w:val="none"/>
        </w:rPr>
      </w:pPr>
      <w:r>
        <w:rPr>
          <w:rFonts w:hint="default" w:ascii="仿宋_GB2312" w:hAnsi="仿宋_GB2312" w:eastAsia="仿宋_GB2312" w:cs="仿宋_GB2312"/>
          <w:sz w:val="32"/>
          <w:szCs w:val="32"/>
          <w:highlight w:val="none"/>
        </w:rPr>
        <w:t>（1）内部程序：交投集团依据市政府批复、注资协议及资产评估报告，召开董事会审议增资事项，形成书面决议，明确增资金额、增资后注册资本及实收资本数额；修改公司章程相应条款。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highlight w:val="none"/>
        </w:rPr>
      </w:pPr>
      <w:r>
        <w:rPr>
          <w:rFonts w:hint="default" w:ascii="仿宋_GB2312" w:hAnsi="仿宋_GB2312" w:eastAsia="仿宋_GB2312" w:cs="仿宋_GB2312"/>
          <w:sz w:val="32"/>
          <w:szCs w:val="32"/>
          <w:highlight w:val="none"/>
        </w:rPr>
        <w:t>（2）外部程序：交投集团向市财政局（履行出资人职责机构）报送增资申请，取得市财政局关于同意交投集团增加注册资本及修改公司章程的批复；委托验资机构出具验资报告（如需）；向市场监督管理部门提交增资变更登记申请，办理注册资本及实收资本变更登记，将注资金额计入注册资本及实收资本，完成注资事项的工商登记闭环；同步办理国有产权变更登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highlight w:val="none"/>
          <w:u w:val="none"/>
          <w:lang w:val="en-US" w:eastAsia="zh-CN"/>
        </w:rPr>
      </w:pPr>
      <w:r>
        <w:rPr>
          <w:rFonts w:hint="default" w:ascii="仿宋_GB2312" w:hAnsi="仿宋_GB2312" w:eastAsia="仿宋_GB2312" w:cs="仿宋_GB2312"/>
          <w:sz w:val="32"/>
          <w:szCs w:val="32"/>
          <w:highlight w:val="none"/>
        </w:rPr>
        <w:t>（3）注意事项：转增实收资本后，交投集团注册资本相应增加，须修改公司章程并办理工商变更登记；增资后交投集团的股权结构保持不变（市财政局100%持股）；实收资本增加有利于提升企业信用等级和融资能力；须关注增资后是否触发相关行业资质、特许经营等条件变更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8.历史遗留问题解决：针对服务中心、执法支队闲置资产等存在历史遗留问题的资产，按照注资协议约定的责任分工，由交投集团牵头，服务中心和执法支队配合，在资产注资后一定期限内完成全部遗留问题的解决工作。</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黑体" w:hAnsi="黑体" w:eastAsia="黑体" w:cs="黑体"/>
          <w:b/>
          <w:bCs/>
          <w:sz w:val="32"/>
          <w:szCs w:val="32"/>
          <w:lang w:val="en-US" w:eastAsia="zh-CN"/>
        </w:rPr>
      </w:pPr>
      <w:r>
        <w:rPr>
          <w:rFonts w:hint="default" w:ascii="黑体" w:hAnsi="黑体" w:eastAsia="黑体" w:cs="黑体"/>
          <w:b/>
          <w:bCs/>
          <w:sz w:val="32"/>
          <w:szCs w:val="32"/>
          <w:lang w:val="en-US" w:eastAsia="zh-CN"/>
        </w:rPr>
        <w:t>七、重组基准日、清产核资及专项审计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第一，</w:t>
      </w:r>
      <w:r>
        <w:rPr>
          <w:rFonts w:hint="default" w:ascii="仿宋_GB2312" w:hAnsi="仿宋_GB2312" w:eastAsia="仿宋_GB2312" w:cs="仿宋_GB2312"/>
          <w:sz w:val="32"/>
          <w:szCs w:val="32"/>
          <w:lang w:val="en-US" w:eastAsia="zh-CN"/>
        </w:rPr>
        <w:t>确定统一的重组基准日，本次所有股权划转、资产重组</w:t>
      </w:r>
      <w:r>
        <w:rPr>
          <w:rFonts w:hint="eastAsia" w:ascii="仿宋_GB2312" w:hAnsi="仿宋_GB2312" w:eastAsia="仿宋_GB2312" w:cs="仿宋_GB2312"/>
          <w:sz w:val="32"/>
          <w:szCs w:val="32"/>
          <w:lang w:val="en-US" w:eastAsia="zh-CN"/>
        </w:rPr>
        <w:t>、资产注资</w:t>
      </w:r>
      <w:r>
        <w:rPr>
          <w:rFonts w:hint="default" w:ascii="仿宋_GB2312" w:hAnsi="仿宋_GB2312" w:eastAsia="仿宋_GB2312" w:cs="仿宋_GB2312"/>
          <w:sz w:val="32"/>
          <w:szCs w:val="32"/>
          <w:lang w:val="en-US" w:eastAsia="zh-CN"/>
        </w:rPr>
        <w:t>及吸收合并事项，均采用统一的审计基准日，确保重组标的定价基准统一、数据口径一致。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lang w:val="en-US" w:eastAsia="zh-CN"/>
        </w:rPr>
        <w:t>第二，</w:t>
      </w:r>
      <w:r>
        <w:rPr>
          <w:rFonts w:hint="default" w:ascii="仿宋_GB2312" w:hAnsi="仿宋_GB2312" w:eastAsia="仿宋_GB2312" w:cs="仿宋_GB2312"/>
          <w:sz w:val="32"/>
          <w:szCs w:val="32"/>
          <w:lang w:val="en-US" w:eastAsia="zh-CN"/>
        </w:rPr>
        <w:t>委托具备资质的第三方机构，以确定的重组基准日为时点，出具统一的专项审计报告，对本次重组涉及的全部股权</w:t>
      </w:r>
      <w:r>
        <w:rPr>
          <w:rFonts w:hint="default"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none"/>
          <w:lang w:val="en-US" w:eastAsia="zh-CN"/>
        </w:rPr>
        <w:t>企业</w:t>
      </w:r>
      <w:r>
        <w:rPr>
          <w:rFonts w:hint="default" w:ascii="仿宋_GB2312" w:hAnsi="仿宋_GB2312" w:eastAsia="仿宋_GB2312" w:cs="仿宋_GB2312"/>
          <w:sz w:val="32"/>
          <w:szCs w:val="32"/>
          <w:u w:val="none"/>
          <w:lang w:val="en-US" w:eastAsia="zh-CN"/>
        </w:rPr>
        <w:t>资产、行政事业单位交通类</w:t>
      </w:r>
      <w:r>
        <w:rPr>
          <w:rFonts w:hint="eastAsia" w:ascii="仿宋_GB2312" w:hAnsi="仿宋_GB2312" w:eastAsia="仿宋_GB2312" w:cs="仿宋_GB2312"/>
          <w:sz w:val="32"/>
          <w:szCs w:val="32"/>
          <w:u w:val="none"/>
          <w:lang w:val="en-US" w:eastAsia="zh-CN"/>
        </w:rPr>
        <w:t>非公益性</w:t>
      </w:r>
      <w:r>
        <w:rPr>
          <w:rFonts w:hint="default" w:ascii="仿宋_GB2312" w:hAnsi="仿宋_GB2312" w:eastAsia="仿宋_GB2312" w:cs="仿宋_GB2312"/>
          <w:sz w:val="32"/>
          <w:szCs w:val="32"/>
          <w:u w:val="none"/>
          <w:lang w:val="en-US" w:eastAsia="zh-CN"/>
        </w:rPr>
        <w:t>资产及对应负债进行全面审计确认，以审计结果作为重组</w:t>
      </w:r>
      <w:r>
        <w:rPr>
          <w:rFonts w:hint="eastAsia" w:ascii="仿宋_GB2312" w:hAnsi="仿宋_GB2312" w:eastAsia="仿宋_GB2312" w:cs="仿宋_GB2312"/>
          <w:sz w:val="32"/>
          <w:szCs w:val="32"/>
          <w:u w:val="none"/>
          <w:lang w:val="en-US" w:eastAsia="zh-CN"/>
        </w:rPr>
        <w:t>、注资</w:t>
      </w:r>
      <w:r>
        <w:rPr>
          <w:rFonts w:hint="default" w:ascii="仿宋_GB2312" w:hAnsi="仿宋_GB2312" w:eastAsia="仿宋_GB2312" w:cs="仿宋_GB2312"/>
          <w:sz w:val="32"/>
          <w:szCs w:val="32"/>
          <w:u w:val="none"/>
          <w:lang w:val="en-US" w:eastAsia="zh-CN"/>
        </w:rPr>
        <w:t>的定价依据。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u w:val="none"/>
          <w:lang w:val="en-US" w:eastAsia="zh-CN"/>
        </w:rPr>
        <w:t>第三，</w:t>
      </w:r>
      <w:r>
        <w:rPr>
          <w:rFonts w:hint="default" w:ascii="仿宋_GB2312" w:hAnsi="仿宋_GB2312" w:eastAsia="仿宋_GB2312" w:cs="仿宋_GB2312"/>
          <w:sz w:val="32"/>
          <w:szCs w:val="32"/>
          <w:u w:val="none"/>
          <w:lang w:val="en-US" w:eastAsia="zh-CN"/>
        </w:rPr>
        <w:t>基于专项审计结果开展清产核资工作，全面核实重组涉及</w:t>
      </w:r>
      <w:r>
        <w:rPr>
          <w:rFonts w:hint="eastAsia" w:ascii="仿宋_GB2312" w:hAnsi="仿宋_GB2312" w:eastAsia="仿宋_GB2312" w:cs="仿宋_GB2312"/>
          <w:sz w:val="32"/>
          <w:szCs w:val="32"/>
          <w:u w:val="none"/>
          <w:lang w:val="en-US" w:eastAsia="zh-CN"/>
        </w:rPr>
        <w:t>企业</w:t>
      </w:r>
      <w:r>
        <w:rPr>
          <w:rFonts w:hint="default" w:ascii="仿宋_GB2312" w:hAnsi="仿宋_GB2312" w:eastAsia="仿宋_GB2312" w:cs="仿宋_GB2312"/>
          <w:sz w:val="32"/>
          <w:szCs w:val="32"/>
          <w:u w:val="none"/>
          <w:lang w:val="en-US" w:eastAsia="zh-CN"/>
        </w:rPr>
        <w:t>主体及市交通运输局所属事业单位的资产</w:t>
      </w:r>
      <w:r>
        <w:rPr>
          <w:rFonts w:hint="default" w:ascii="仿宋_GB2312" w:hAnsi="仿宋_GB2312" w:eastAsia="仿宋_GB2312" w:cs="仿宋_GB2312"/>
          <w:sz w:val="32"/>
          <w:szCs w:val="32"/>
          <w:lang w:val="en-US" w:eastAsia="zh-CN"/>
        </w:rPr>
        <w:t>、负债、所有者权益情况，厘清资产权属，确认债权债务明细，核实人员情况，确保账实相符、账证相符、账账相符，清产核资结果作为重组实施的基础依据。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第四，</w:t>
      </w:r>
      <w:r>
        <w:rPr>
          <w:rFonts w:hint="default" w:ascii="仿宋_GB2312" w:hAnsi="仿宋_GB2312" w:eastAsia="仿宋_GB2312" w:cs="仿宋_GB2312"/>
          <w:sz w:val="32"/>
          <w:szCs w:val="32"/>
          <w:highlight w:val="none"/>
          <w:lang w:val="en-US" w:eastAsia="zh-CN"/>
        </w:rPr>
        <w:t>全部资产、负债均按</w:t>
      </w:r>
      <w:r>
        <w:rPr>
          <w:rFonts w:hint="default" w:ascii="仿宋_GB2312" w:hAnsi="仿宋_GB2312" w:eastAsia="仿宋_GB2312" w:cs="仿宋_GB2312"/>
          <w:sz w:val="32"/>
          <w:szCs w:val="32"/>
          <w:lang w:val="en-US" w:eastAsia="zh-CN"/>
        </w:rPr>
        <w:t>转出主体原账面原值、累计折旧、账面净值进行</w:t>
      </w:r>
      <w:r>
        <w:rPr>
          <w:rFonts w:hint="eastAsia" w:ascii="仿宋_GB2312" w:hAnsi="仿宋_GB2312" w:eastAsia="仿宋_GB2312" w:cs="仿宋_GB2312"/>
          <w:sz w:val="32"/>
          <w:szCs w:val="32"/>
          <w:lang w:val="en-US" w:eastAsia="zh-CN"/>
        </w:rPr>
        <w:t>重组</w:t>
      </w:r>
      <w:r>
        <w:rPr>
          <w:rFonts w:hint="default" w:ascii="仿宋_GB2312" w:hAnsi="仿宋_GB2312" w:eastAsia="仿宋_GB2312" w:cs="仿宋_GB2312"/>
          <w:sz w:val="32"/>
          <w:szCs w:val="32"/>
          <w:lang w:val="en-US" w:eastAsia="zh-CN"/>
        </w:rPr>
        <w:t>转移，不评估增值、会计上不确认损益，严格遵循国资监管及企业会计准则相关要求。</w:t>
      </w:r>
      <w:r>
        <w:rPr>
          <w:rFonts w:hint="default" w:ascii="仿宋_GB2312" w:hAnsi="仿宋_GB2312" w:eastAsia="仿宋_GB2312" w:cs="仿宋_GB2312"/>
          <w:sz w:val="32"/>
          <w:szCs w:val="32"/>
        </w:rPr>
        <w:t>但政府以非公益性实物资产注资至交投集团的事项除外，注资涉及的交通类非公益性资产须经第三方评估机构评估确认价值，注资金额以评估值为准，交投集团据此进行资本金账务处理。</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黑体" w:hAnsi="黑体" w:eastAsia="黑体" w:cs="黑体"/>
          <w:b/>
          <w:bCs/>
          <w:sz w:val="32"/>
          <w:szCs w:val="32"/>
          <w:lang w:val="en-US" w:eastAsia="zh-CN"/>
        </w:rPr>
      </w:pPr>
      <w:r>
        <w:rPr>
          <w:rFonts w:hint="default" w:ascii="黑体" w:hAnsi="黑体" w:eastAsia="黑体" w:cs="黑体"/>
          <w:b/>
          <w:bCs/>
          <w:sz w:val="32"/>
          <w:szCs w:val="32"/>
          <w:lang w:val="en-US" w:eastAsia="zh-CN"/>
        </w:rPr>
        <w:t>八、重组基准日至交割日专项约定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华文楷体" w:hAnsi="华文楷体" w:eastAsia="华文楷体" w:cs="华文楷体"/>
          <w:b w:val="0"/>
          <w:bCs w:val="0"/>
          <w:sz w:val="32"/>
          <w:szCs w:val="32"/>
          <w:lang w:val="en-US" w:eastAsia="zh-CN"/>
        </w:rPr>
      </w:pPr>
      <w:r>
        <w:rPr>
          <w:rFonts w:hint="default" w:ascii="华文楷体" w:hAnsi="华文楷体" w:eastAsia="华文楷体" w:cs="华文楷体"/>
          <w:b w:val="0"/>
          <w:bCs w:val="0"/>
          <w:sz w:val="32"/>
          <w:szCs w:val="32"/>
          <w:lang w:val="en-US" w:eastAsia="zh-CN"/>
        </w:rPr>
        <w:t>（一）期间损益归属约定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本次全部股权划转、资产重组事项，均在方案及</w:t>
      </w:r>
      <w:r>
        <w:rPr>
          <w:rFonts w:hint="eastAsia" w:ascii="仿宋_GB2312" w:hAnsi="仿宋_GB2312" w:eastAsia="仿宋_GB2312" w:cs="仿宋_GB2312"/>
          <w:sz w:val="32"/>
          <w:szCs w:val="32"/>
          <w:lang w:val="en-US" w:eastAsia="zh-CN"/>
        </w:rPr>
        <w:t>重组</w:t>
      </w:r>
      <w:r>
        <w:rPr>
          <w:rFonts w:hint="default" w:ascii="仿宋_GB2312" w:hAnsi="仿宋_GB2312" w:eastAsia="仿宋_GB2312" w:cs="仿宋_GB2312"/>
          <w:sz w:val="32"/>
          <w:szCs w:val="32"/>
          <w:lang w:val="en-US" w:eastAsia="zh-CN"/>
        </w:rPr>
        <w:t>协议中对审计基准日至资产/股权过户完成日（以下简称“交割日”）的期间损益作出明确排他性书面约定，可选以下两种合规方案，最终方案在报审文件中明确：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常规国资方案：期间产生的盈利</w:t>
      </w:r>
      <w:r>
        <w:rPr>
          <w:rFonts w:hint="default" w:ascii="仿宋_GB2312" w:hAnsi="仿宋_GB2312" w:eastAsia="仿宋_GB2312" w:cs="仿宋_GB2312"/>
          <w:sz w:val="32"/>
          <w:szCs w:val="32"/>
          <w:highlight w:val="none"/>
          <w:lang w:val="en-US" w:eastAsia="zh-CN"/>
        </w:rPr>
        <w:t>归</w:t>
      </w:r>
      <w:r>
        <w:rPr>
          <w:rFonts w:hint="eastAsia" w:ascii="仿宋_GB2312" w:hAnsi="仿宋_GB2312" w:eastAsia="仿宋_GB2312" w:cs="仿宋_GB2312"/>
          <w:sz w:val="32"/>
          <w:szCs w:val="32"/>
          <w:highlight w:val="none"/>
          <w:lang w:val="en-US" w:eastAsia="zh-CN"/>
        </w:rPr>
        <w:t>承接</w:t>
      </w:r>
      <w:r>
        <w:rPr>
          <w:rFonts w:hint="default" w:ascii="仿宋_GB2312" w:hAnsi="仿宋_GB2312" w:eastAsia="仿宋_GB2312" w:cs="仿宋_GB2312"/>
          <w:sz w:val="32"/>
          <w:szCs w:val="32"/>
          <w:highlight w:val="none"/>
          <w:lang w:val="en-US" w:eastAsia="zh-CN"/>
        </w:rPr>
        <w:t>方所有，期间产生的亏损由</w:t>
      </w:r>
      <w:r>
        <w:rPr>
          <w:rFonts w:hint="eastAsia" w:ascii="仿宋_GB2312" w:hAnsi="仿宋_GB2312" w:eastAsia="仿宋_GB2312" w:cs="仿宋_GB2312"/>
          <w:sz w:val="32"/>
          <w:szCs w:val="32"/>
          <w:highlight w:val="none"/>
          <w:lang w:val="en-US" w:eastAsia="zh-CN"/>
        </w:rPr>
        <w:t>转</w:t>
      </w:r>
      <w:r>
        <w:rPr>
          <w:rFonts w:hint="default" w:ascii="仿宋_GB2312" w:hAnsi="仿宋_GB2312" w:eastAsia="仿宋_GB2312" w:cs="仿宋_GB2312"/>
          <w:sz w:val="32"/>
          <w:szCs w:val="32"/>
          <w:highlight w:val="none"/>
          <w:lang w:val="en-US" w:eastAsia="zh-CN"/>
        </w:rPr>
        <w:t>出方全额补足，确保重组标的资产在交割日的账面净值不低于审计基准日确认的金额，契合国有资产保值增值的核心监管要求。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2.</w:t>
      </w:r>
      <w:r>
        <w:rPr>
          <w:rFonts w:hint="default" w:ascii="仿宋_GB2312" w:hAnsi="仿宋_GB2312" w:eastAsia="仿宋_GB2312" w:cs="仿宋_GB2312"/>
          <w:sz w:val="32"/>
          <w:szCs w:val="32"/>
          <w:highlight w:val="none"/>
          <w:lang w:val="en-US" w:eastAsia="zh-CN"/>
        </w:rPr>
        <w:t>简化方案：期间损益全部由</w:t>
      </w:r>
      <w:r>
        <w:rPr>
          <w:rFonts w:hint="eastAsia" w:ascii="仿宋_GB2312" w:hAnsi="仿宋_GB2312" w:eastAsia="仿宋_GB2312" w:cs="仿宋_GB2312"/>
          <w:sz w:val="32"/>
          <w:szCs w:val="32"/>
          <w:highlight w:val="none"/>
          <w:lang w:val="en-US" w:eastAsia="zh-CN"/>
        </w:rPr>
        <w:t>承接</w:t>
      </w:r>
      <w:r>
        <w:rPr>
          <w:rFonts w:hint="default" w:ascii="仿宋_GB2312" w:hAnsi="仿宋_GB2312" w:eastAsia="仿宋_GB2312" w:cs="仿宋_GB2312"/>
          <w:sz w:val="32"/>
          <w:szCs w:val="32"/>
          <w:highlight w:val="none"/>
          <w:lang w:val="en-US" w:eastAsia="zh-CN"/>
        </w:rPr>
        <w:t>方统一承接，</w:t>
      </w:r>
      <w:r>
        <w:rPr>
          <w:rFonts w:hint="eastAsia" w:ascii="仿宋_GB2312" w:hAnsi="仿宋_GB2312" w:eastAsia="仿宋_GB2312" w:cs="仿宋_GB2312"/>
          <w:sz w:val="32"/>
          <w:szCs w:val="32"/>
          <w:highlight w:val="none"/>
          <w:lang w:val="en-US" w:eastAsia="zh-CN"/>
        </w:rPr>
        <w:t>转</w:t>
      </w:r>
      <w:r>
        <w:rPr>
          <w:rFonts w:hint="default" w:ascii="仿宋_GB2312" w:hAnsi="仿宋_GB2312" w:eastAsia="仿宋_GB2312" w:cs="仿宋_GB2312"/>
          <w:sz w:val="32"/>
          <w:szCs w:val="32"/>
          <w:highlight w:val="none"/>
          <w:lang w:val="en-US" w:eastAsia="zh-CN"/>
        </w:rPr>
        <w:t>出</w:t>
      </w:r>
      <w:r>
        <w:rPr>
          <w:rFonts w:hint="default" w:ascii="仿宋_GB2312" w:hAnsi="仿宋_GB2312" w:eastAsia="仿宋_GB2312" w:cs="仿宋_GB2312"/>
          <w:sz w:val="32"/>
          <w:szCs w:val="32"/>
          <w:lang w:val="en-US" w:eastAsia="zh-CN"/>
        </w:rPr>
        <w:t>方不再对期间亏损承担补足责任，该方案需在报审文件中专项说明合理性，确保不造成国有资产流失。</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华文楷体" w:hAnsi="华文楷体" w:eastAsia="华文楷体" w:cs="华文楷体"/>
          <w:b w:val="0"/>
          <w:bCs w:val="0"/>
          <w:sz w:val="32"/>
          <w:szCs w:val="32"/>
          <w:lang w:val="en-US" w:eastAsia="zh-CN"/>
        </w:rPr>
      </w:pPr>
      <w:r>
        <w:rPr>
          <w:rFonts w:hint="default" w:ascii="华文楷体" w:hAnsi="华文楷体" w:eastAsia="华文楷体" w:cs="华文楷体"/>
          <w:b w:val="0"/>
          <w:bCs w:val="0"/>
          <w:sz w:val="32"/>
          <w:szCs w:val="32"/>
          <w:lang w:val="en-US" w:eastAsia="zh-CN"/>
        </w:rPr>
        <w:t>（二）债务承担专项约定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债务承担完整范围：本次重组涉及的债务不仅包括</w:t>
      </w:r>
      <w:r>
        <w:rPr>
          <w:rFonts w:hint="eastAsia" w:ascii="仿宋_GB2312" w:hAnsi="仿宋_GB2312" w:eastAsia="仿宋_GB2312" w:cs="仿宋_GB2312"/>
          <w:sz w:val="32"/>
          <w:szCs w:val="32"/>
          <w:lang w:val="en-US" w:eastAsia="zh-CN"/>
        </w:rPr>
        <w:t>重组</w:t>
      </w:r>
      <w:r>
        <w:rPr>
          <w:rFonts w:hint="default" w:ascii="仿宋_GB2312" w:hAnsi="仿宋_GB2312" w:eastAsia="仿宋_GB2312" w:cs="仿宋_GB2312"/>
          <w:sz w:val="32"/>
          <w:szCs w:val="32"/>
          <w:lang w:val="en-US" w:eastAsia="zh-CN"/>
        </w:rPr>
        <w:t>标的对应的账面显性债务，还全面涵盖</w:t>
      </w:r>
      <w:r>
        <w:rPr>
          <w:rFonts w:hint="eastAsia" w:ascii="仿宋_GB2312" w:hAnsi="仿宋_GB2312" w:eastAsia="仿宋_GB2312" w:cs="仿宋_GB2312"/>
          <w:sz w:val="32"/>
          <w:szCs w:val="32"/>
          <w:lang w:val="en-US" w:eastAsia="zh-CN"/>
        </w:rPr>
        <w:t>重组</w:t>
      </w:r>
      <w:r>
        <w:rPr>
          <w:rFonts w:hint="default" w:ascii="仿宋_GB2312" w:hAnsi="仿宋_GB2312" w:eastAsia="仿宋_GB2312" w:cs="仿宋_GB2312"/>
          <w:sz w:val="32"/>
          <w:szCs w:val="32"/>
          <w:lang w:val="en-US" w:eastAsia="zh-CN"/>
        </w:rPr>
        <w:t>基准日之前已形成的隐性债务、抵押担保、质押保证、未决诉讼、仲裁、行政处罚、欠缴税费</w:t>
      </w:r>
      <w:r>
        <w:rPr>
          <w:rFonts w:hint="eastAsia" w:ascii="仿宋_GB2312" w:hAnsi="仿宋_GB2312" w:eastAsia="仿宋_GB2312" w:cs="仿宋_GB2312"/>
          <w:sz w:val="32"/>
          <w:szCs w:val="32"/>
          <w:lang w:val="en-US" w:eastAsia="zh-CN"/>
        </w:rPr>
        <w:t>或</w:t>
      </w:r>
      <w:r>
        <w:rPr>
          <w:rFonts w:hint="default" w:ascii="仿宋_GB2312" w:hAnsi="仿宋_GB2312" w:eastAsia="仿宋_GB2312" w:cs="仿宋_GB2312"/>
          <w:sz w:val="32"/>
          <w:szCs w:val="32"/>
          <w:lang w:val="en-US" w:eastAsia="zh-CN"/>
        </w:rPr>
        <w:t>有负债及其他全部法定支付义务，不遗漏任何附随于标的资产/股权的债务责任。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债务承担的时间节点与主体划分：交割日之前产生的全部债务（含或有负债、抵押担保等附随义务），原则上由</w:t>
      </w:r>
      <w:r>
        <w:rPr>
          <w:rFonts w:hint="eastAsia" w:ascii="仿宋_GB2312" w:hAnsi="仿宋_GB2312" w:eastAsia="仿宋_GB2312" w:cs="仿宋_GB2312"/>
          <w:sz w:val="32"/>
          <w:szCs w:val="32"/>
          <w:lang w:val="en-US" w:eastAsia="zh-CN"/>
        </w:rPr>
        <w:t>转</w:t>
      </w:r>
      <w:r>
        <w:rPr>
          <w:rFonts w:hint="default" w:ascii="仿宋_GB2312" w:hAnsi="仿宋_GB2312" w:eastAsia="仿宋_GB2312" w:cs="仿宋_GB2312"/>
          <w:sz w:val="32"/>
          <w:szCs w:val="32"/>
          <w:lang w:val="en-US" w:eastAsia="zh-CN"/>
        </w:rPr>
        <w:t>出方全额承担与清偿；若约定随标的资产一并</w:t>
      </w:r>
      <w:r>
        <w:rPr>
          <w:rFonts w:hint="default" w:ascii="仿宋_GB2312" w:hAnsi="仿宋_GB2312" w:eastAsia="仿宋_GB2312" w:cs="仿宋_GB2312"/>
          <w:sz w:val="32"/>
          <w:szCs w:val="32"/>
          <w:highlight w:val="none"/>
          <w:lang w:val="en-US" w:eastAsia="zh-CN"/>
        </w:rPr>
        <w:t>重组至</w:t>
      </w:r>
      <w:r>
        <w:rPr>
          <w:rFonts w:hint="eastAsia" w:ascii="仿宋_GB2312" w:hAnsi="仿宋_GB2312" w:eastAsia="仿宋_GB2312" w:cs="仿宋_GB2312"/>
          <w:sz w:val="32"/>
          <w:szCs w:val="32"/>
          <w:highlight w:val="none"/>
          <w:lang w:val="en-US" w:eastAsia="zh-CN"/>
        </w:rPr>
        <w:t>承接</w:t>
      </w:r>
      <w:r>
        <w:rPr>
          <w:rFonts w:hint="default" w:ascii="仿宋_GB2312" w:hAnsi="仿宋_GB2312" w:eastAsia="仿宋_GB2312" w:cs="仿宋_GB2312"/>
          <w:sz w:val="32"/>
          <w:szCs w:val="32"/>
          <w:highlight w:val="none"/>
          <w:lang w:val="en-US" w:eastAsia="zh-CN"/>
        </w:rPr>
        <w:t>方承接的，严格履行债务转移法定要求，逐笔取</w:t>
      </w:r>
      <w:r>
        <w:rPr>
          <w:rFonts w:hint="default" w:ascii="仿宋_GB2312" w:hAnsi="仿宋_GB2312" w:eastAsia="仿宋_GB2312" w:cs="仿宋_GB2312"/>
          <w:sz w:val="32"/>
          <w:szCs w:val="32"/>
          <w:lang w:val="en-US" w:eastAsia="zh-CN"/>
        </w:rPr>
        <w:t>得全部</w:t>
      </w:r>
      <w:r>
        <w:rPr>
          <w:rFonts w:hint="eastAsia" w:ascii="仿宋_GB2312" w:hAnsi="仿宋_GB2312" w:eastAsia="仿宋_GB2312" w:cs="仿宋_GB2312"/>
          <w:sz w:val="32"/>
          <w:szCs w:val="32"/>
          <w:lang w:val="en-US" w:eastAsia="zh-CN"/>
        </w:rPr>
        <w:t>关联</w:t>
      </w:r>
      <w:r>
        <w:rPr>
          <w:rFonts w:hint="default" w:ascii="仿宋_GB2312" w:hAnsi="仿宋_GB2312" w:eastAsia="仿宋_GB2312" w:cs="仿宋_GB2312"/>
          <w:sz w:val="32"/>
          <w:szCs w:val="32"/>
          <w:lang w:val="en-US" w:eastAsia="zh-CN"/>
        </w:rPr>
        <w:t>债权人（含抵押权人、担保权人等）的书面同意函，未取得债权人书面同意的，不得约定债务转移，仍由</w:t>
      </w:r>
      <w:r>
        <w:rPr>
          <w:rFonts w:hint="eastAsia" w:ascii="仿宋_GB2312" w:hAnsi="仿宋_GB2312" w:eastAsia="仿宋_GB2312" w:cs="仿宋_GB2312"/>
          <w:sz w:val="32"/>
          <w:szCs w:val="32"/>
          <w:lang w:val="en-US" w:eastAsia="zh-CN"/>
        </w:rPr>
        <w:t>转出</w:t>
      </w:r>
      <w:r>
        <w:rPr>
          <w:rFonts w:hint="default" w:ascii="仿宋_GB2312" w:hAnsi="仿宋_GB2312" w:eastAsia="仿宋_GB2312" w:cs="仿宋_GB2312"/>
          <w:sz w:val="32"/>
          <w:szCs w:val="32"/>
          <w:lang w:val="en-US" w:eastAsia="zh-CN"/>
        </w:rPr>
        <w:t>方承担全部清偿责任。交割日之后因标的资产/股权运营、管理产生的全部债务</w:t>
      </w:r>
      <w:r>
        <w:rPr>
          <w:rFonts w:hint="default" w:ascii="仿宋_GB2312" w:hAnsi="仿宋_GB2312" w:eastAsia="仿宋_GB2312" w:cs="仿宋_GB2312"/>
          <w:sz w:val="32"/>
          <w:szCs w:val="32"/>
          <w:highlight w:val="none"/>
          <w:lang w:val="en-US" w:eastAsia="zh-CN"/>
        </w:rPr>
        <w:t>，由</w:t>
      </w:r>
      <w:r>
        <w:rPr>
          <w:rFonts w:hint="eastAsia" w:ascii="仿宋_GB2312" w:hAnsi="仿宋_GB2312" w:eastAsia="仿宋_GB2312" w:cs="仿宋_GB2312"/>
          <w:sz w:val="32"/>
          <w:szCs w:val="32"/>
          <w:highlight w:val="none"/>
          <w:lang w:val="en-US" w:eastAsia="zh-CN"/>
        </w:rPr>
        <w:t>承接</w:t>
      </w:r>
      <w:r>
        <w:rPr>
          <w:rFonts w:hint="default" w:ascii="仿宋_GB2312" w:hAnsi="仿宋_GB2312" w:eastAsia="仿宋_GB2312" w:cs="仿宋_GB2312"/>
          <w:sz w:val="32"/>
          <w:szCs w:val="32"/>
          <w:highlight w:val="none"/>
          <w:lang w:val="en-US" w:eastAsia="zh-CN"/>
        </w:rPr>
        <w:t>方</w:t>
      </w:r>
      <w:r>
        <w:rPr>
          <w:rFonts w:hint="default" w:ascii="仿宋_GB2312" w:hAnsi="仿宋_GB2312" w:eastAsia="仿宋_GB2312" w:cs="仿宋_GB2312"/>
          <w:sz w:val="32"/>
          <w:szCs w:val="32"/>
          <w:lang w:val="en-US" w:eastAsia="zh-CN"/>
        </w:rPr>
        <w:t>全额承担。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抵押债务专项约定：针对交通大厦附带的吉林银行抵押债务，在重组协议中明确约定抵押主债务的承接主体，同步签订抵押合同变更协议，必须取得抵押权人吉林银行的书面同意函，并在不动产过户时同步完成抵押人变更登记，严禁未经抵押权人同意擅自转移抵押资产及对应债务。若银行要求提前还款或增加担保措施，需提前落实资金或担保方案，严禁出现抵押悬空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吸收合并事项债务约定：交投集团吸收合并机场公司的，合并各方的债权、债务，全部由合并后存续的交投集团承继。在吸收合并协议中明确约定，合并基准日之前及之后的全部债权、债务、抵押担保</w:t>
      </w:r>
      <w:r>
        <w:rPr>
          <w:rFonts w:hint="eastAsia" w:ascii="仿宋_GB2312" w:hAnsi="仿宋_GB2312" w:eastAsia="仿宋_GB2312" w:cs="仿宋_GB2312"/>
          <w:sz w:val="32"/>
          <w:szCs w:val="32"/>
          <w:lang w:val="en-US" w:eastAsia="zh-CN"/>
        </w:rPr>
        <w:t>或</w:t>
      </w:r>
      <w:r>
        <w:rPr>
          <w:rFonts w:hint="default" w:ascii="仿宋_GB2312" w:hAnsi="仿宋_GB2312" w:eastAsia="仿宋_GB2312" w:cs="仿宋_GB2312"/>
          <w:sz w:val="32"/>
          <w:szCs w:val="32"/>
          <w:lang w:val="en-US" w:eastAsia="zh-CN"/>
        </w:rPr>
        <w:t>有负债，均由合并后的存续主体全额承继，严格履行债权人通知与公告程序，不遗漏任何债务责任。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highlight w:val="none"/>
          <w:u w:val="single"/>
          <w:lang w:val="en-US" w:eastAsia="zh-CN"/>
        </w:rPr>
      </w:pPr>
      <w:r>
        <w:rPr>
          <w:rFonts w:hint="eastAsia" w:ascii="仿宋_GB2312" w:hAnsi="仿宋_GB2312" w:eastAsia="仿宋_GB2312" w:cs="仿宋_GB2312"/>
          <w:sz w:val="32"/>
          <w:szCs w:val="32"/>
          <w:highlight w:val="none"/>
          <w:u w:val="none"/>
          <w:lang w:val="en-US" w:eastAsia="zh-CN"/>
        </w:rPr>
        <w:t>5.市交通运输局及所属事业单位</w:t>
      </w:r>
      <w:r>
        <w:rPr>
          <w:rFonts w:hint="eastAsia" w:ascii="仿宋_GB2312" w:hAnsi="仿宋_GB2312" w:eastAsia="仿宋_GB2312" w:cs="仿宋_GB2312"/>
          <w:sz w:val="32"/>
          <w:szCs w:val="32"/>
          <w:highlight w:val="none"/>
        </w:rPr>
        <w:t>交通类非公益性资产注资</w:t>
      </w:r>
      <w:r>
        <w:rPr>
          <w:rFonts w:hint="eastAsia" w:ascii="仿宋_GB2312" w:hAnsi="仿宋_GB2312" w:eastAsia="仿宋_GB2312" w:cs="仿宋_GB2312"/>
          <w:sz w:val="32"/>
          <w:szCs w:val="32"/>
          <w:highlight w:val="none"/>
          <w:u w:val="none"/>
          <w:lang w:val="en-US" w:eastAsia="zh-CN"/>
        </w:rPr>
        <w:t>债务约定：拟注资资产对应的全部债务（含或有负债），原则上由市交通运输局及所属事业单位承担与清偿；如需随资产一并注资至交投集团承接的，必须逐笔取得债权人书面同意函，并在注资协议中明确约定。</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黑体" w:hAnsi="黑体" w:eastAsia="黑体" w:cs="黑体"/>
          <w:b/>
          <w:bCs/>
          <w:sz w:val="32"/>
          <w:szCs w:val="32"/>
          <w:lang w:val="en-US" w:eastAsia="zh-CN"/>
        </w:rPr>
      </w:pPr>
      <w:r>
        <w:rPr>
          <w:rFonts w:hint="default" w:ascii="黑体" w:hAnsi="黑体" w:eastAsia="黑体" w:cs="黑体"/>
          <w:b/>
          <w:bCs/>
          <w:sz w:val="32"/>
          <w:szCs w:val="32"/>
          <w:lang w:val="en-US" w:eastAsia="zh-CN"/>
        </w:rPr>
        <w:t>九、风险防控措施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华文楷体" w:hAnsi="华文楷体" w:eastAsia="华文楷体" w:cs="华文楷体"/>
          <w:b w:val="0"/>
          <w:bCs w:val="0"/>
          <w:sz w:val="32"/>
          <w:szCs w:val="32"/>
          <w:lang w:val="en-US" w:eastAsia="zh-CN"/>
        </w:rPr>
      </w:pPr>
      <w:r>
        <w:rPr>
          <w:rFonts w:hint="eastAsia" w:ascii="华文楷体" w:hAnsi="华文楷体" w:eastAsia="华文楷体" w:cs="华文楷体"/>
          <w:b w:val="0"/>
          <w:bCs w:val="0"/>
          <w:sz w:val="32"/>
          <w:szCs w:val="32"/>
          <w:lang w:val="en-US" w:eastAsia="zh-CN"/>
        </w:rPr>
        <w:t>（一）</w:t>
      </w:r>
      <w:r>
        <w:rPr>
          <w:rFonts w:hint="default" w:ascii="华文楷体" w:hAnsi="华文楷体" w:eastAsia="华文楷体" w:cs="华文楷体"/>
          <w:b w:val="0"/>
          <w:bCs w:val="0"/>
          <w:sz w:val="32"/>
          <w:szCs w:val="32"/>
          <w:lang w:val="en-US" w:eastAsia="zh-CN"/>
        </w:rPr>
        <w:t>抵押合规风险防控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交通大厦重组前必须取得抵押权人吉林银行的书面同意函，未取得前不启动重组程序，过户与抵押变更同步办理，确保抵押事项无缝衔接。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华文楷体" w:hAnsi="华文楷体" w:eastAsia="华文楷体" w:cs="华文楷体"/>
          <w:b w:val="0"/>
          <w:bCs w:val="0"/>
          <w:sz w:val="32"/>
          <w:szCs w:val="32"/>
          <w:lang w:val="en-US" w:eastAsia="zh-CN"/>
        </w:rPr>
      </w:pPr>
      <w:r>
        <w:rPr>
          <w:rFonts w:hint="eastAsia" w:ascii="华文楷体" w:hAnsi="华文楷体" w:eastAsia="华文楷体" w:cs="华文楷体"/>
          <w:b w:val="0"/>
          <w:bCs w:val="0"/>
          <w:sz w:val="32"/>
          <w:szCs w:val="32"/>
          <w:lang w:val="en-US" w:eastAsia="zh-CN"/>
        </w:rPr>
        <w:t>（二）</w:t>
      </w:r>
      <w:r>
        <w:rPr>
          <w:rFonts w:hint="default" w:ascii="华文楷体" w:hAnsi="华文楷体" w:eastAsia="华文楷体" w:cs="华文楷体"/>
          <w:b w:val="0"/>
          <w:bCs w:val="0"/>
          <w:sz w:val="32"/>
          <w:szCs w:val="32"/>
          <w:lang w:val="en-US" w:eastAsia="zh-CN"/>
        </w:rPr>
        <w:t>国资审批风险防控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所有重组事项必须取得市财政局正式批复后再实施，严格履行法定内部决策、债权人通知、公告程序，确保报审材料完整合规。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华文楷体" w:hAnsi="华文楷体" w:eastAsia="华文楷体" w:cs="华文楷体"/>
          <w:b w:val="0"/>
          <w:bCs w:val="0"/>
          <w:sz w:val="32"/>
          <w:szCs w:val="32"/>
          <w:lang w:val="en-US" w:eastAsia="zh-CN"/>
        </w:rPr>
      </w:pPr>
      <w:r>
        <w:rPr>
          <w:rFonts w:hint="eastAsia" w:ascii="华文楷体" w:hAnsi="华文楷体" w:eastAsia="华文楷体" w:cs="华文楷体"/>
          <w:b w:val="0"/>
          <w:bCs w:val="0"/>
          <w:sz w:val="32"/>
          <w:szCs w:val="32"/>
          <w:lang w:val="en-US" w:eastAsia="zh-CN"/>
        </w:rPr>
        <w:t>（三）</w:t>
      </w:r>
      <w:r>
        <w:rPr>
          <w:rFonts w:hint="default" w:ascii="华文楷体" w:hAnsi="华文楷体" w:eastAsia="华文楷体" w:cs="华文楷体"/>
          <w:b w:val="0"/>
          <w:bCs w:val="0"/>
          <w:sz w:val="32"/>
          <w:szCs w:val="32"/>
          <w:lang w:val="en-US" w:eastAsia="zh-CN"/>
        </w:rPr>
        <w:t>税务合规风险防控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所有划转</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重组</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合并事项均严格按账面净值实施，无任何现金对价或非股权支付，重组完成后12个月内不改变资产实质性经营用途，确保特殊性税务处理合规。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华文楷体" w:hAnsi="华文楷体" w:eastAsia="华文楷体" w:cs="华文楷体"/>
          <w:b w:val="0"/>
          <w:bCs w:val="0"/>
          <w:sz w:val="32"/>
          <w:szCs w:val="32"/>
          <w:lang w:val="en-US" w:eastAsia="zh-CN"/>
        </w:rPr>
        <w:t>（四）</w:t>
      </w:r>
      <w:r>
        <w:rPr>
          <w:rFonts w:hint="default" w:ascii="华文楷体" w:hAnsi="华文楷体" w:eastAsia="华文楷体" w:cs="华文楷体"/>
          <w:b w:val="0"/>
          <w:bCs w:val="0"/>
          <w:sz w:val="32"/>
          <w:szCs w:val="32"/>
          <w:lang w:val="en-US" w:eastAsia="zh-CN"/>
        </w:rPr>
        <w:t>权属过户风险防控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重组前完成全部资产的权属核查，确认无查封、无其他权利负担，重组基准日至过户完成日的资产收益、风险责任在协议中明确约定，避免权属争议。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华文楷体" w:hAnsi="华文楷体" w:eastAsia="华文楷体" w:cs="华文楷体"/>
          <w:b w:val="0"/>
          <w:bCs w:val="0"/>
          <w:sz w:val="32"/>
          <w:szCs w:val="32"/>
          <w:lang w:val="en-US" w:eastAsia="zh-CN"/>
        </w:rPr>
      </w:pPr>
      <w:r>
        <w:rPr>
          <w:rFonts w:hint="eastAsia" w:ascii="华文楷体" w:hAnsi="华文楷体" w:eastAsia="华文楷体" w:cs="华文楷体"/>
          <w:b w:val="0"/>
          <w:bCs w:val="0"/>
          <w:sz w:val="32"/>
          <w:szCs w:val="32"/>
          <w:lang w:val="en-US" w:eastAsia="zh-CN"/>
        </w:rPr>
        <w:t>（五）</w:t>
      </w:r>
      <w:r>
        <w:rPr>
          <w:rFonts w:hint="default" w:ascii="华文楷体" w:hAnsi="华文楷体" w:eastAsia="华文楷体" w:cs="华文楷体"/>
          <w:b w:val="0"/>
          <w:bCs w:val="0"/>
          <w:sz w:val="32"/>
          <w:szCs w:val="32"/>
          <w:lang w:val="en-US" w:eastAsia="zh-CN"/>
        </w:rPr>
        <w:t>债务与损益合规风险防控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所有划转</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合并</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重组事项必须在协议中书面明确审计基准日至交割日的期间损益归属，以及重组前后债务的承担主体与时间节点；涉及债务转移的，必须逐笔取得债权人书面同意，尤其是金融债务、抵押担保债务，未取得债权人同意的不得实施重组；严禁通过划转、合并、重组方式逃废金融债务、法定债务，确保国有资产安全、权责划分无争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华文楷体" w:hAnsi="华文楷体" w:eastAsia="华文楷体" w:cs="华文楷体"/>
          <w:b w:val="0"/>
          <w:bCs w:val="0"/>
          <w:sz w:val="32"/>
          <w:szCs w:val="32"/>
          <w:lang w:val="en-US" w:eastAsia="zh-CN"/>
        </w:rPr>
      </w:pPr>
      <w:r>
        <w:rPr>
          <w:rFonts w:hint="eastAsia" w:ascii="华文楷体" w:hAnsi="华文楷体" w:eastAsia="华文楷体" w:cs="华文楷体"/>
          <w:b w:val="0"/>
          <w:bCs w:val="0"/>
          <w:sz w:val="32"/>
          <w:szCs w:val="32"/>
          <w:lang w:val="en-US" w:eastAsia="zh-CN"/>
        </w:rPr>
        <w:t>（六）</w:t>
      </w:r>
      <w:r>
        <w:rPr>
          <w:rFonts w:hint="default" w:ascii="华文楷体" w:hAnsi="华文楷体" w:eastAsia="华文楷体" w:cs="华文楷体"/>
          <w:b w:val="0"/>
          <w:bCs w:val="0"/>
          <w:sz w:val="32"/>
          <w:szCs w:val="32"/>
          <w:lang w:val="en-US" w:eastAsia="zh-CN"/>
        </w:rPr>
        <w:t>人员安置风险防控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严格落实人员平稳接续原则，劳动关系整体平移、工龄连续计算、薪酬社保待遇不变，涉及职工安置的方案必须履行职工代表大会审议程序，保障职工合法权益，维护队伍稳定。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highlight w:val="none"/>
          <w:u w:val="none"/>
          <w:lang w:val="en-US" w:eastAsia="zh-CN"/>
        </w:rPr>
      </w:pPr>
      <w:r>
        <w:rPr>
          <w:rFonts w:hint="default" w:ascii="仿宋_GB2312" w:hAnsi="仿宋_GB2312" w:eastAsia="仿宋_GB2312" w:cs="仿宋_GB2312"/>
          <w:sz w:val="32"/>
          <w:szCs w:val="32"/>
          <w:highlight w:val="none"/>
          <w:u w:val="none"/>
          <w:lang w:val="en-US" w:eastAsia="zh-CN"/>
        </w:rPr>
        <w:t>（七）</w:t>
      </w:r>
      <w:r>
        <w:rPr>
          <w:rFonts w:hint="default" w:ascii="仿宋_GB2312" w:hAnsi="仿宋_GB2312" w:eastAsia="仿宋_GB2312" w:cs="仿宋_GB2312"/>
          <w:sz w:val="32"/>
          <w:szCs w:val="32"/>
          <w:highlight w:val="none"/>
        </w:rPr>
        <w:t>交通类非公益性资产注资风险防控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highlight w:val="none"/>
          <w:u w:val="none"/>
          <w:lang w:eastAsia="zh-CN"/>
        </w:rPr>
      </w:pPr>
      <w:r>
        <w:rPr>
          <w:rFonts w:hint="eastAsia" w:ascii="仿宋_GB2312" w:hAnsi="仿宋_GB2312" w:eastAsia="仿宋_GB2312" w:cs="仿宋_GB2312"/>
          <w:sz w:val="32"/>
          <w:szCs w:val="32"/>
          <w:highlight w:val="none"/>
          <w:u w:val="none"/>
          <w:lang w:val="en-US" w:eastAsia="zh-CN"/>
        </w:rPr>
        <w:t>1.</w:t>
      </w:r>
      <w:r>
        <w:rPr>
          <w:rFonts w:hint="default" w:ascii="仿宋_GB2312" w:hAnsi="仿宋_GB2312" w:eastAsia="仿宋_GB2312" w:cs="仿宋_GB2312"/>
          <w:sz w:val="32"/>
          <w:szCs w:val="32"/>
          <w:highlight w:val="none"/>
          <w:u w:val="none"/>
          <w:lang w:val="en-US" w:eastAsia="zh-CN"/>
        </w:rPr>
        <w:t>资产权属风险防控：</w:t>
      </w:r>
      <w:r>
        <w:rPr>
          <w:rFonts w:hint="eastAsia" w:ascii="仿宋_GB2312" w:hAnsi="仿宋_GB2312" w:eastAsia="仿宋_GB2312" w:cs="仿宋_GB2312"/>
          <w:sz w:val="32"/>
          <w:szCs w:val="32"/>
          <w:highlight w:val="none"/>
          <w:u w:val="none"/>
          <w:lang w:val="en-US" w:eastAsia="zh-CN"/>
        </w:rPr>
        <w:t>注资</w:t>
      </w:r>
      <w:r>
        <w:rPr>
          <w:rFonts w:hint="default" w:ascii="仿宋_GB2312" w:hAnsi="仿宋_GB2312" w:eastAsia="仿宋_GB2312" w:cs="仿宋_GB2312"/>
          <w:sz w:val="32"/>
          <w:szCs w:val="32"/>
          <w:highlight w:val="none"/>
          <w:u w:val="none"/>
          <w:lang w:val="en-US" w:eastAsia="zh-CN"/>
        </w:rPr>
        <w:t>前由市交通运输局组织全面权属核查，确认拟</w:t>
      </w:r>
      <w:r>
        <w:rPr>
          <w:rFonts w:hint="eastAsia" w:ascii="仿宋_GB2312" w:hAnsi="仿宋_GB2312" w:eastAsia="仿宋_GB2312" w:cs="仿宋_GB2312"/>
          <w:sz w:val="32"/>
          <w:szCs w:val="32"/>
          <w:highlight w:val="none"/>
          <w:u w:val="none"/>
          <w:lang w:val="en-US" w:eastAsia="zh-CN"/>
        </w:rPr>
        <w:t>注资</w:t>
      </w:r>
      <w:r>
        <w:rPr>
          <w:rFonts w:hint="default" w:ascii="仿宋_GB2312" w:hAnsi="仿宋_GB2312" w:eastAsia="仿宋_GB2312" w:cs="仿宋_GB2312"/>
          <w:sz w:val="32"/>
          <w:szCs w:val="32"/>
          <w:highlight w:val="none"/>
          <w:u w:val="none"/>
          <w:lang w:val="en-US" w:eastAsia="zh-CN"/>
        </w:rPr>
        <w:t>资产无查封、无抵押、无权属争议，对存在权属瑕疵的资产提前制定解决方案，未解决前不得</w:t>
      </w:r>
      <w:r>
        <w:rPr>
          <w:rFonts w:hint="eastAsia" w:ascii="仿宋_GB2312" w:hAnsi="仿宋_GB2312" w:eastAsia="仿宋_GB2312" w:cs="仿宋_GB2312"/>
          <w:sz w:val="32"/>
          <w:szCs w:val="32"/>
          <w:highlight w:val="none"/>
          <w:u w:val="none"/>
          <w:lang w:val="en-US" w:eastAsia="zh-CN"/>
        </w:rPr>
        <w:t>注资。</w:t>
      </w:r>
      <w:r>
        <w:rPr>
          <w:rFonts w:hint="default" w:ascii="仿宋_GB2312" w:hAnsi="仿宋_GB2312" w:eastAsia="仿宋_GB2312" w:cs="仿宋_GB2312"/>
          <w:sz w:val="32"/>
          <w:szCs w:val="32"/>
          <w:highlight w:val="none"/>
        </w:rPr>
        <w:t>针对账外资产，须在注资前完成产权登记和权属确认，确保注入交投集团的资产权属清晰、产权完整</w:t>
      </w:r>
      <w:r>
        <w:rPr>
          <w:rFonts w:hint="eastAsia" w:ascii="仿宋_GB2312" w:hAnsi="仿宋_GB2312" w:eastAsia="仿宋_GB2312" w:cs="仿宋_GB2312"/>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highlight w:val="none"/>
          <w:u w:val="none"/>
          <w:lang w:eastAsia="zh-CN"/>
        </w:rPr>
      </w:pPr>
      <w:r>
        <w:rPr>
          <w:rFonts w:hint="eastAsia" w:ascii="仿宋_GB2312" w:hAnsi="仿宋_GB2312" w:eastAsia="仿宋_GB2312" w:cs="仿宋_GB2312"/>
          <w:sz w:val="32"/>
          <w:szCs w:val="32"/>
          <w:highlight w:val="none"/>
          <w:u w:val="none"/>
          <w:lang w:val="en-US" w:eastAsia="zh-CN"/>
        </w:rPr>
        <w:t>2.</w:t>
      </w:r>
      <w:r>
        <w:rPr>
          <w:rFonts w:hint="eastAsia" w:ascii="仿宋_GB2312" w:hAnsi="仿宋_GB2312" w:eastAsia="仿宋_GB2312" w:cs="仿宋_GB2312"/>
          <w:sz w:val="32"/>
          <w:szCs w:val="32"/>
          <w:highlight w:val="none"/>
        </w:rPr>
        <w:t>资产性质界定风险防控：在资产清查报告、评估报告及注资方案中逐项标注并确认资产的非公益性属性，确保全部注资资产为非公益性资产，确保符合行政事业单位国有资产注资的政策要求</w:t>
      </w:r>
      <w:r>
        <w:rPr>
          <w:rFonts w:hint="eastAsia" w:ascii="仿宋_GB2312" w:hAnsi="仿宋_GB2312" w:eastAsia="仿宋_GB2312" w:cs="仿宋_GB2312"/>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3.</w:t>
      </w:r>
      <w:r>
        <w:rPr>
          <w:rFonts w:hint="eastAsia" w:ascii="仿宋_GB2312" w:hAnsi="仿宋_GB2312" w:eastAsia="仿宋_GB2312" w:cs="仿宋_GB2312"/>
          <w:sz w:val="32"/>
          <w:szCs w:val="32"/>
          <w:highlight w:val="none"/>
        </w:rPr>
        <w:t>账外资产入账风险防控：针对账外资产，在注资前完成产权确认、价值确认和账务调整工作，将全部账外资产纳入会计核算体系，做到账实相符、账证相符、账账相符，杜绝注资后出现账外资产遗留问题</w:t>
      </w:r>
      <w:r>
        <w:rPr>
          <w:rFonts w:hint="eastAsia" w:ascii="仿宋_GB2312" w:hAnsi="仿宋_GB2312" w:eastAsia="仿宋_GB2312" w:cs="仿宋_GB2312"/>
          <w:sz w:val="32"/>
          <w:szCs w:val="32"/>
          <w:highlight w:val="none"/>
          <w:u w:val="none"/>
          <w:lang w:eastAsia="zh-CN"/>
        </w:rPr>
        <w:t>。</w:t>
      </w:r>
      <w:r>
        <w:rPr>
          <w:rFonts w:hint="eastAsia" w:ascii="仿宋_GB2312" w:hAnsi="仿宋_GB2312" w:eastAsia="仿宋_GB2312" w:cs="仿宋_GB2312"/>
          <w:sz w:val="32"/>
          <w:szCs w:val="32"/>
          <w:highlight w:val="none"/>
        </w:rPr>
        <w:t>账外资产未完成入账前，不得启动后续注资程序；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4.</w:t>
      </w:r>
      <w:r>
        <w:rPr>
          <w:rFonts w:hint="default" w:ascii="仿宋_GB2312" w:hAnsi="仿宋_GB2312" w:eastAsia="仿宋_GB2312" w:cs="仿宋_GB2312"/>
          <w:sz w:val="32"/>
          <w:szCs w:val="32"/>
          <w:highlight w:val="none"/>
          <w:u w:val="none"/>
          <w:lang w:val="en-US" w:eastAsia="zh-CN"/>
        </w:rPr>
        <w:t>审批流程风险防控：严格履行行政事业单位国有资产</w:t>
      </w:r>
      <w:r>
        <w:rPr>
          <w:rFonts w:hint="eastAsia" w:ascii="仿宋_GB2312" w:hAnsi="仿宋_GB2312" w:eastAsia="仿宋_GB2312" w:cs="仿宋_GB2312"/>
          <w:sz w:val="32"/>
          <w:szCs w:val="32"/>
          <w:highlight w:val="none"/>
          <w:u w:val="none"/>
          <w:lang w:val="en-US" w:eastAsia="zh-CN"/>
        </w:rPr>
        <w:t>注资</w:t>
      </w:r>
      <w:r>
        <w:rPr>
          <w:rFonts w:hint="default" w:ascii="仿宋_GB2312" w:hAnsi="仿宋_GB2312" w:eastAsia="仿宋_GB2312" w:cs="仿宋_GB2312"/>
          <w:sz w:val="32"/>
          <w:szCs w:val="32"/>
          <w:highlight w:val="none"/>
          <w:u w:val="none"/>
          <w:lang w:val="en-US" w:eastAsia="zh-CN"/>
        </w:rPr>
        <w:t>的内部决策及外部审批程序，确保所有审批环节合规完整，纳入一揽子报审的需明确各主体的审批责任；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5.</w:t>
      </w:r>
      <w:r>
        <w:rPr>
          <w:rFonts w:hint="eastAsia" w:ascii="仿宋_GB2312" w:hAnsi="仿宋_GB2312" w:eastAsia="仿宋_GB2312" w:cs="仿宋_GB2312"/>
          <w:sz w:val="32"/>
          <w:szCs w:val="32"/>
          <w:highlight w:val="none"/>
        </w:rPr>
        <w:t>评估作价风险防控：委托具有从业资质的第三方评估机构对全部拟注资资产进行评估，确保评估方法科学、评估结论公允，注资金额以评估报告确认的评估值为准</w:t>
      </w:r>
      <w:r>
        <w:rPr>
          <w:rFonts w:hint="eastAsia" w:ascii="仿宋_GB2312" w:hAnsi="仿宋_GB2312" w:eastAsia="仿宋_GB2312" w:cs="仿宋_GB2312"/>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6.</w:t>
      </w:r>
      <w:r>
        <w:rPr>
          <w:rFonts w:hint="default" w:ascii="仿宋_GB2312" w:hAnsi="仿宋_GB2312" w:eastAsia="仿宋_GB2312" w:cs="仿宋_GB2312"/>
          <w:sz w:val="32"/>
          <w:szCs w:val="32"/>
          <w:highlight w:val="none"/>
          <w:u w:val="none"/>
          <w:lang w:val="en-US" w:eastAsia="zh-CN"/>
        </w:rPr>
        <w:t>历史遗留问题风险防控：针对服务中心闲置资产等存在历史遗留问题的资产，在</w:t>
      </w:r>
      <w:r>
        <w:rPr>
          <w:rFonts w:hint="eastAsia" w:ascii="仿宋_GB2312" w:hAnsi="仿宋_GB2312" w:eastAsia="仿宋_GB2312" w:cs="仿宋_GB2312"/>
          <w:sz w:val="32"/>
          <w:szCs w:val="32"/>
          <w:highlight w:val="none"/>
          <w:u w:val="none"/>
          <w:lang w:val="en-US" w:eastAsia="zh-CN"/>
        </w:rPr>
        <w:t>注资</w:t>
      </w:r>
      <w:r>
        <w:rPr>
          <w:rFonts w:hint="default" w:ascii="仿宋_GB2312" w:hAnsi="仿宋_GB2312" w:eastAsia="仿宋_GB2312" w:cs="仿宋_GB2312"/>
          <w:sz w:val="32"/>
          <w:szCs w:val="32"/>
          <w:highlight w:val="none"/>
          <w:u w:val="none"/>
          <w:lang w:val="en-US" w:eastAsia="zh-CN"/>
        </w:rPr>
        <w:t>协议中明确遗留问题的解决主体、责任分工及资金来源，确保</w:t>
      </w:r>
      <w:r>
        <w:rPr>
          <w:rFonts w:hint="eastAsia" w:ascii="仿宋_GB2312" w:hAnsi="仿宋_GB2312" w:eastAsia="仿宋_GB2312" w:cs="仿宋_GB2312"/>
          <w:sz w:val="32"/>
          <w:szCs w:val="32"/>
          <w:highlight w:val="none"/>
          <w:u w:val="none"/>
          <w:lang w:val="en-US" w:eastAsia="zh-CN"/>
        </w:rPr>
        <w:t>注资</w:t>
      </w:r>
      <w:r>
        <w:rPr>
          <w:rFonts w:hint="default" w:ascii="仿宋_GB2312" w:hAnsi="仿宋_GB2312" w:eastAsia="仿宋_GB2312" w:cs="仿宋_GB2312"/>
          <w:sz w:val="32"/>
          <w:szCs w:val="32"/>
          <w:highlight w:val="none"/>
          <w:u w:val="none"/>
          <w:lang w:val="en-US" w:eastAsia="zh-CN"/>
        </w:rPr>
        <w:t>后问题得到妥善解决；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7.</w:t>
      </w:r>
      <w:r>
        <w:rPr>
          <w:rFonts w:hint="default" w:ascii="仿宋_GB2312" w:hAnsi="仿宋_GB2312" w:eastAsia="仿宋_GB2312" w:cs="仿宋_GB2312"/>
          <w:sz w:val="32"/>
          <w:szCs w:val="32"/>
          <w:highlight w:val="none"/>
          <w:u w:val="none"/>
          <w:lang w:val="en-US" w:eastAsia="zh-CN"/>
        </w:rPr>
        <w:t>环保合规风险防控：针对北环一级路杨木林匝道圈等涉及环保督察整改的资产，</w:t>
      </w:r>
      <w:r>
        <w:rPr>
          <w:rFonts w:hint="eastAsia" w:ascii="仿宋_GB2312" w:hAnsi="仿宋_GB2312" w:eastAsia="仿宋_GB2312" w:cs="仿宋_GB2312"/>
          <w:sz w:val="32"/>
          <w:szCs w:val="32"/>
          <w:highlight w:val="none"/>
          <w:u w:val="none"/>
          <w:lang w:val="en-US" w:eastAsia="zh-CN"/>
        </w:rPr>
        <w:t>注资</w:t>
      </w:r>
      <w:r>
        <w:rPr>
          <w:rFonts w:hint="default" w:ascii="仿宋_GB2312" w:hAnsi="仿宋_GB2312" w:eastAsia="仿宋_GB2312" w:cs="仿宋_GB2312"/>
          <w:sz w:val="32"/>
          <w:szCs w:val="32"/>
          <w:highlight w:val="none"/>
          <w:u w:val="none"/>
          <w:lang w:val="en-US" w:eastAsia="zh-CN"/>
        </w:rPr>
        <w:t>前完成现有环保问题整改，</w:t>
      </w:r>
      <w:r>
        <w:rPr>
          <w:rFonts w:hint="eastAsia" w:ascii="仿宋_GB2312" w:hAnsi="仿宋_GB2312" w:eastAsia="仿宋_GB2312" w:cs="仿宋_GB2312"/>
          <w:sz w:val="32"/>
          <w:szCs w:val="32"/>
          <w:highlight w:val="none"/>
          <w:u w:val="none"/>
          <w:lang w:val="en-US" w:eastAsia="zh-CN"/>
        </w:rPr>
        <w:t>注资</w:t>
      </w:r>
      <w:r>
        <w:rPr>
          <w:rFonts w:hint="default" w:ascii="仿宋_GB2312" w:hAnsi="仿宋_GB2312" w:eastAsia="仿宋_GB2312" w:cs="仿宋_GB2312"/>
          <w:sz w:val="32"/>
          <w:szCs w:val="32"/>
          <w:highlight w:val="none"/>
          <w:u w:val="none"/>
          <w:lang w:val="en-US" w:eastAsia="zh-CN"/>
        </w:rPr>
        <w:t>后由交投集团落实环保主体责任，确保开发运营符合环保要求；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highlight w:val="yellow"/>
          <w:u w:val="none"/>
          <w:lang w:val="en-US" w:eastAsia="zh-CN"/>
        </w:rPr>
      </w:pPr>
      <w:r>
        <w:rPr>
          <w:rFonts w:hint="eastAsia" w:ascii="仿宋_GB2312" w:hAnsi="仿宋_GB2312" w:eastAsia="仿宋_GB2312" w:cs="仿宋_GB2312"/>
          <w:sz w:val="32"/>
          <w:szCs w:val="32"/>
          <w:highlight w:val="none"/>
          <w:u w:val="none"/>
          <w:lang w:val="en-US" w:eastAsia="zh-CN"/>
        </w:rPr>
        <w:t>8.</w:t>
      </w:r>
      <w:r>
        <w:rPr>
          <w:rFonts w:hint="default" w:ascii="仿宋_GB2312" w:hAnsi="仿宋_GB2312" w:eastAsia="仿宋_GB2312" w:cs="仿宋_GB2312"/>
          <w:sz w:val="32"/>
          <w:szCs w:val="32"/>
          <w:highlight w:val="none"/>
          <w:u w:val="none"/>
          <w:lang w:val="en-US" w:eastAsia="zh-CN"/>
        </w:rPr>
        <w:t>资产用途变更风险防控：严格遵守税收优惠政策要求，</w:t>
      </w:r>
      <w:r>
        <w:rPr>
          <w:rFonts w:hint="eastAsia" w:ascii="仿宋_GB2312" w:hAnsi="仿宋_GB2312" w:eastAsia="仿宋_GB2312" w:cs="仿宋_GB2312"/>
          <w:sz w:val="32"/>
          <w:szCs w:val="32"/>
          <w:highlight w:val="none"/>
          <w:u w:val="none"/>
          <w:lang w:val="en-US" w:eastAsia="zh-CN"/>
        </w:rPr>
        <w:t>注资</w:t>
      </w:r>
      <w:r>
        <w:rPr>
          <w:rFonts w:hint="default" w:ascii="仿宋_GB2312" w:hAnsi="仿宋_GB2312" w:eastAsia="仿宋_GB2312" w:cs="仿宋_GB2312"/>
          <w:sz w:val="32"/>
          <w:szCs w:val="32"/>
          <w:highlight w:val="none"/>
          <w:u w:val="none"/>
          <w:lang w:val="en-US" w:eastAsia="zh-CN"/>
        </w:rPr>
        <w:t>后12个月内不改变资产实质性经营用途，如需变更需提前向主管税务机关备案。</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黑体" w:hAnsi="黑体" w:eastAsia="黑体" w:cs="黑体"/>
          <w:b/>
          <w:bCs/>
          <w:sz w:val="32"/>
          <w:szCs w:val="32"/>
          <w:lang w:val="en-US" w:eastAsia="zh-CN"/>
        </w:rPr>
      </w:pPr>
      <w:r>
        <w:rPr>
          <w:rFonts w:hint="eastAsia" w:ascii="黑体" w:hAnsi="黑体" w:eastAsia="黑体" w:cs="黑体"/>
          <w:b/>
          <w:bCs/>
          <w:sz w:val="32"/>
          <w:szCs w:val="32"/>
          <w:lang w:val="en-US" w:eastAsia="zh-CN"/>
        </w:rPr>
        <w:t>十、</w:t>
      </w:r>
      <w:r>
        <w:rPr>
          <w:rFonts w:hint="default" w:ascii="黑体" w:hAnsi="黑体" w:eastAsia="黑体" w:cs="黑体"/>
          <w:b/>
          <w:bCs/>
          <w:sz w:val="32"/>
          <w:szCs w:val="32"/>
          <w:lang w:val="en-US" w:eastAsia="zh-CN"/>
        </w:rPr>
        <w:t>归档与合规固化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u w:val="none"/>
          <w:lang w:val="en-US" w:eastAsia="zh-CN"/>
        </w:rPr>
      </w:pPr>
      <w:r>
        <w:rPr>
          <w:rFonts w:hint="default" w:ascii="仿宋_GB2312" w:hAnsi="仿宋_GB2312" w:eastAsia="仿宋_GB2312" w:cs="仿宋_GB2312"/>
          <w:sz w:val="32"/>
          <w:szCs w:val="32"/>
          <w:lang w:val="en-US" w:eastAsia="zh-CN"/>
        </w:rPr>
        <w:t>全部重组事项实施完成后，进行收尾工作。一是就本次全部股权划转、资产重组、吸收合并事项，统一向主管税务机关完成备案手续，完成全部主体的账务调整，确保税务合规闭环；二是完成全部主体的国有产权变更登记，更新国有资产台账，确保账实相符；三是将本次重组的全部批复文件、内部决议、</w:t>
      </w:r>
      <w:r>
        <w:rPr>
          <w:rFonts w:hint="eastAsia" w:ascii="仿宋_GB2312" w:hAnsi="仿宋_GB2312" w:eastAsia="仿宋_GB2312" w:cs="仿宋_GB2312"/>
          <w:sz w:val="32"/>
          <w:szCs w:val="32"/>
          <w:lang w:val="en-US" w:eastAsia="zh-CN"/>
        </w:rPr>
        <w:t>股权</w:t>
      </w:r>
      <w:r>
        <w:rPr>
          <w:rFonts w:hint="default" w:ascii="仿宋_GB2312" w:hAnsi="仿宋_GB2312" w:eastAsia="仿宋_GB2312" w:cs="仿宋_GB2312"/>
          <w:sz w:val="32"/>
          <w:szCs w:val="32"/>
          <w:lang w:val="en-US" w:eastAsia="zh-CN"/>
        </w:rPr>
        <w:t>划转</w:t>
      </w:r>
      <w:r>
        <w:rPr>
          <w:rFonts w:hint="eastAsia" w:ascii="仿宋_GB2312" w:hAnsi="仿宋_GB2312" w:eastAsia="仿宋_GB2312" w:cs="仿宋_GB2312"/>
          <w:sz w:val="32"/>
          <w:szCs w:val="32"/>
          <w:lang w:val="en-US" w:eastAsia="zh-CN"/>
        </w:rPr>
        <w:t>/资产重组/吸收</w:t>
      </w:r>
      <w:r>
        <w:rPr>
          <w:rFonts w:hint="default" w:ascii="仿宋_GB2312" w:hAnsi="仿宋_GB2312" w:eastAsia="仿宋_GB2312" w:cs="仿宋_GB2312"/>
          <w:sz w:val="32"/>
          <w:szCs w:val="32"/>
          <w:lang w:val="en-US" w:eastAsia="zh-CN"/>
        </w:rPr>
        <w:t>合并协议、审计报告、法律建议书、登记备案材料等全套资料整理归档，严格遵循国资监管档案管理要求，确保全部事项可追溯、可核查</w:t>
      </w:r>
      <w:r>
        <w:rPr>
          <w:rFonts w:hint="eastAsia" w:ascii="仿宋_GB2312" w:hAnsi="仿宋_GB2312" w:eastAsia="仿宋_GB2312" w:cs="仿宋_GB2312"/>
          <w:sz w:val="32"/>
          <w:szCs w:val="32"/>
          <w:lang w:val="en-US" w:eastAsia="zh-CN"/>
        </w:rPr>
        <w:t>；</w:t>
      </w:r>
      <w:r>
        <w:rPr>
          <w:rFonts w:ascii="仿宋_GB2312" w:hAnsi="仿宋_GB2312" w:eastAsia="仿宋_GB2312" w:cs="仿宋_GB2312"/>
          <w:sz w:val="32"/>
          <w:szCs w:val="32"/>
          <w:u w:val="none"/>
        </w:rPr>
        <w:t>四是将</w:t>
      </w:r>
      <w:r>
        <w:rPr>
          <w:rFonts w:hint="eastAsia" w:ascii="仿宋_GB2312" w:hAnsi="仿宋_GB2312" w:eastAsia="仿宋_GB2312" w:cs="仿宋_GB2312"/>
          <w:sz w:val="32"/>
          <w:szCs w:val="32"/>
          <w:u w:val="none"/>
        </w:rPr>
        <w:t>交通类非公益性资产注资</w:t>
      </w:r>
      <w:r>
        <w:rPr>
          <w:rFonts w:ascii="仿宋_GB2312" w:hAnsi="仿宋_GB2312" w:eastAsia="仿宋_GB2312" w:cs="仿宋_GB2312"/>
          <w:sz w:val="32"/>
          <w:szCs w:val="32"/>
          <w:u w:val="none"/>
        </w:rPr>
        <w:t>相关的资产清查报告、内部决议、</w:t>
      </w:r>
      <w:r>
        <w:rPr>
          <w:rFonts w:hint="eastAsia" w:ascii="仿宋_GB2312" w:hAnsi="仿宋_GB2312" w:eastAsia="仿宋_GB2312" w:cs="仿宋_GB2312"/>
          <w:sz w:val="32"/>
          <w:szCs w:val="32"/>
          <w:u w:val="none"/>
          <w:lang w:val="en-US" w:eastAsia="zh-CN"/>
        </w:rPr>
        <w:t>注资</w:t>
      </w:r>
      <w:r>
        <w:rPr>
          <w:rFonts w:ascii="仿宋_GB2312" w:hAnsi="仿宋_GB2312" w:eastAsia="仿宋_GB2312" w:cs="仿宋_GB2312"/>
          <w:sz w:val="32"/>
          <w:szCs w:val="32"/>
          <w:u w:val="none"/>
        </w:rPr>
        <w:t>协议、权属变更证明、</w:t>
      </w:r>
      <w:r>
        <w:rPr>
          <w:rFonts w:hint="eastAsia" w:ascii="仿宋_GB2312" w:hAnsi="仿宋_GB2312" w:eastAsia="仿宋_GB2312" w:cs="仿宋_GB2312"/>
          <w:sz w:val="32"/>
          <w:szCs w:val="32"/>
          <w:u w:val="none"/>
        </w:rPr>
        <w:t>注册资本变更登记文件</w:t>
      </w:r>
      <w:r>
        <w:rPr>
          <w:rFonts w:hint="eastAsia" w:ascii="仿宋_GB2312" w:hAnsi="仿宋_GB2312" w:eastAsia="仿宋_GB2312" w:cs="仿宋_GB2312"/>
          <w:sz w:val="32"/>
          <w:szCs w:val="32"/>
          <w:u w:val="none"/>
          <w:lang w:eastAsia="zh-CN"/>
        </w:rPr>
        <w:t>、</w:t>
      </w:r>
      <w:r>
        <w:rPr>
          <w:rFonts w:ascii="仿宋_GB2312" w:hAnsi="仿宋_GB2312" w:eastAsia="仿宋_GB2312" w:cs="仿宋_GB2312"/>
          <w:sz w:val="32"/>
          <w:szCs w:val="32"/>
          <w:u w:val="none"/>
        </w:rPr>
        <w:t>税务备案资料等全套资料整理归档，与企业重组资料一并永久留存。</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ascii="黑体" w:hAnsi="黑体" w:eastAsia="黑体" w:cs="黑体"/>
          <w:b/>
          <w:bCs/>
          <w:sz w:val="32"/>
          <w:szCs w:val="32"/>
          <w:lang w:val="en-US" w:eastAsia="zh-CN"/>
        </w:rPr>
      </w:pPr>
      <w:r>
        <w:rPr>
          <w:rFonts w:hint="default" w:ascii="黑体" w:hAnsi="黑体" w:eastAsia="黑体" w:cs="黑体"/>
          <w:b/>
          <w:bCs/>
          <w:sz w:val="32"/>
          <w:szCs w:val="32"/>
          <w:lang w:val="en-US" w:eastAsia="zh-CN"/>
        </w:rPr>
        <w:t>十一、附则及其他事项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第一，</w:t>
      </w:r>
      <w:r>
        <w:rPr>
          <w:rFonts w:hint="default" w:ascii="仿宋_GB2312" w:hAnsi="仿宋_GB2312" w:eastAsia="仿宋_GB2312" w:cs="仿宋_GB2312"/>
          <w:sz w:val="32"/>
          <w:szCs w:val="32"/>
          <w:lang w:val="en-US" w:eastAsia="zh-CN"/>
        </w:rPr>
        <w:t>本次整体业务</w:t>
      </w:r>
      <w:r>
        <w:rPr>
          <w:rFonts w:hint="eastAsia" w:ascii="仿宋_GB2312" w:hAnsi="仿宋_GB2312" w:eastAsia="仿宋_GB2312" w:cs="仿宋_GB2312"/>
          <w:sz w:val="32"/>
          <w:szCs w:val="32"/>
          <w:lang w:val="en-US" w:eastAsia="zh-CN"/>
        </w:rPr>
        <w:t>股权划转、</w:t>
      </w:r>
      <w:r>
        <w:rPr>
          <w:rFonts w:hint="default" w:ascii="仿宋_GB2312" w:hAnsi="仿宋_GB2312" w:eastAsia="仿宋_GB2312" w:cs="仿宋_GB2312"/>
          <w:sz w:val="32"/>
          <w:szCs w:val="32"/>
          <w:lang w:val="en-US" w:eastAsia="zh-CN"/>
        </w:rPr>
        <w:t>资产重组全程无偿，各方互不支付任何款项，不产生任何资金结算。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第二，政府以交通类非公益性资产注资交投集团的事项，属于政府以实物资产注入国有企业的资本性投入行为，不涉及资金支付结算。</w:t>
      </w:r>
      <w:r>
        <w:rPr>
          <w:rFonts w:hint="eastAsia" w:ascii="仿宋_GB2312" w:hAnsi="仿宋_GB2312" w:eastAsia="仿宋_GB2312" w:cs="仿宋_GB2312"/>
          <w:sz w:val="32"/>
          <w:szCs w:val="32"/>
        </w:rPr>
        <w:t>注资金额计入交投集团国家资本金（实收资本），相应增加注册资本。全部注资资产须逐项确认非公益性属性，账外资产须在注资前完成产权确认和账务调整入账</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w:t>
      </w:r>
      <w:r>
        <w:rPr>
          <w:rFonts w:hint="default" w:ascii="仿宋_GB2312" w:hAnsi="仿宋_GB2312" w:eastAsia="仿宋_GB2312" w:cs="仿宋_GB2312"/>
          <w:sz w:val="32"/>
          <w:szCs w:val="32"/>
          <w:lang w:val="en-US" w:eastAsia="zh-CN"/>
        </w:rPr>
        <w:t>本方案未尽事宜，按照国家国资监管规定、现行财税政策及各企业公司章程执行。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w:t>
      </w:r>
      <w:r>
        <w:rPr>
          <w:rFonts w:hint="default" w:ascii="仿宋_GB2312" w:hAnsi="仿宋_GB2312" w:eastAsia="仿宋_GB2312" w:cs="仿宋_GB2312"/>
          <w:sz w:val="32"/>
          <w:szCs w:val="32"/>
          <w:lang w:val="en-US" w:eastAsia="zh-CN"/>
        </w:rPr>
        <w:t>重组事项需报市政府常务会议审议，审议意见作为实施法定依据，经批复之日起正式生效，方案附件与正文具有同等法律效力。</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sz w:val="32"/>
          <w:szCs w:val="32"/>
          <w:lang w:val="en-US" w:eastAsia="zh-CN"/>
        </w:rPr>
        <w:t>第五，</w:t>
      </w:r>
      <w:r>
        <w:rPr>
          <w:rFonts w:hint="default" w:ascii="仿宋_GB2312" w:hAnsi="仿宋_GB2312" w:eastAsia="仿宋_GB2312" w:cs="仿宋_GB2312"/>
          <w:sz w:val="32"/>
          <w:szCs w:val="32"/>
          <w:lang w:val="en-US" w:eastAsia="zh-CN"/>
        </w:rPr>
        <w:t>本次</w:t>
      </w:r>
      <w:r>
        <w:rPr>
          <w:rFonts w:hint="eastAsia" w:ascii="仿宋_GB2312" w:hAnsi="仿宋_GB2312" w:eastAsia="仿宋_GB2312" w:cs="仿宋_GB2312"/>
          <w:sz w:val="32"/>
          <w:szCs w:val="32"/>
          <w:lang w:val="en-US" w:eastAsia="zh-CN"/>
        </w:rPr>
        <w:t>股权划转、</w:t>
      </w:r>
      <w:r>
        <w:rPr>
          <w:rFonts w:hint="default" w:ascii="仿宋_GB2312" w:hAnsi="仿宋_GB2312" w:eastAsia="仿宋_GB2312" w:cs="仿宋_GB2312"/>
          <w:sz w:val="32"/>
          <w:szCs w:val="32"/>
          <w:lang w:val="en-US" w:eastAsia="zh-CN"/>
        </w:rPr>
        <w:t>资产重组全过程相关资料（审批文件、协议、审计报告、清产核资报告</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rPr>
        <w:t>注资协议、评估报告</w:t>
      </w:r>
      <w:r>
        <w:rPr>
          <w:rFonts w:hint="default" w:ascii="仿宋_GB2312" w:hAnsi="仿宋_GB2312" w:eastAsia="仿宋_GB2312" w:cs="仿宋_GB2312"/>
          <w:sz w:val="32"/>
          <w:szCs w:val="32"/>
          <w:lang w:val="en-US" w:eastAsia="zh-CN"/>
        </w:rPr>
        <w:t>等）永久归档留存，接受国资、审计、税务部门后续监督检查。</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仿宋_GB2312" w:hAnsi="仿宋_GB2312" w:eastAsia="仿宋_GB2312" w:cs="仿宋_GB2312"/>
          <w:sz w:val="32"/>
          <w:szCs w:val="32"/>
          <w:lang w:val="en-US" w:eastAsia="zh-CN"/>
        </w:rPr>
      </w:pPr>
      <w:r>
        <w:drawing>
          <wp:inline distT="0" distB="0" distL="114300" distR="114300">
            <wp:extent cx="8551545" cy="4267200"/>
            <wp:effectExtent l="0" t="0" r="190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8551545" cy="4267200"/>
                    </a:xfrm>
                    <a:prstGeom prst="rect">
                      <a:avLst/>
                    </a:prstGeom>
                    <a:noFill/>
                    <a:ln>
                      <a:noFill/>
                    </a:ln>
                  </pic:spPr>
                </pic:pic>
              </a:graphicData>
            </a:graphic>
          </wp:inline>
        </w:drawing>
      </w:r>
    </w:p>
    <w:sectPr>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altName w:val="微软雅黑"/>
    <w:panose1 w:val="02010601030101010101"/>
    <w:charset w:val="86"/>
    <w:family w:val="auto"/>
    <w:pitch w:val="default"/>
    <w:sig w:usb0="00000000" w:usb1="0000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uXW5&#10;UtAAAAAFAQAADwAAAAAAAAABACAAAAAiAAAAZHJzL2Rvd25yZXYueG1sUEsBAhQAFAAAAAgAh07i&#10;QAR+Hmm4AQAAUAMAAA4AAAAAAAAAAQAgAAAAHwEAAGRycy9lMm9Eb2MueG1sUEsFBgAAAAAGAAYA&#10;WQEAAEkFAAAAAA==&#10;">
              <v:fill on="f" focussize="0,0"/>
              <v:stroke on="f"/>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4"/>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9744A2C"/>
    <w:rsid w:val="0AFF6D5D"/>
    <w:rsid w:val="0C871C0A"/>
    <w:rsid w:val="0CB3217A"/>
    <w:rsid w:val="0D177140"/>
    <w:rsid w:val="10DC198C"/>
    <w:rsid w:val="17F84828"/>
    <w:rsid w:val="19DC165B"/>
    <w:rsid w:val="1A7317A9"/>
    <w:rsid w:val="1BD64BA4"/>
    <w:rsid w:val="1E8D65C2"/>
    <w:rsid w:val="1F77476F"/>
    <w:rsid w:val="215327D9"/>
    <w:rsid w:val="271E04EE"/>
    <w:rsid w:val="2AAB29A8"/>
    <w:rsid w:val="2C344058"/>
    <w:rsid w:val="2D007EFF"/>
    <w:rsid w:val="2F385AF7"/>
    <w:rsid w:val="30334A4D"/>
    <w:rsid w:val="34DE07F5"/>
    <w:rsid w:val="35B00AA5"/>
    <w:rsid w:val="39E07CFA"/>
    <w:rsid w:val="3B511D02"/>
    <w:rsid w:val="3BDB685F"/>
    <w:rsid w:val="45777027"/>
    <w:rsid w:val="488F03B3"/>
    <w:rsid w:val="4AE02D08"/>
    <w:rsid w:val="4D524AEA"/>
    <w:rsid w:val="548B2CC2"/>
    <w:rsid w:val="5690183D"/>
    <w:rsid w:val="57FF5037"/>
    <w:rsid w:val="583F7692"/>
    <w:rsid w:val="5B8953DA"/>
    <w:rsid w:val="6349002E"/>
    <w:rsid w:val="644916BD"/>
    <w:rsid w:val="652B78D5"/>
    <w:rsid w:val="683170F3"/>
    <w:rsid w:val="739F071A"/>
    <w:rsid w:val="73CF3BF6"/>
    <w:rsid w:val="761658D7"/>
    <w:rsid w:val="76BD7C61"/>
    <w:rsid w:val="76F73449"/>
    <w:rsid w:val="7A510472"/>
    <w:rsid w:val="7EE76E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qFormat/>
    <w:uiPriority w:val="0"/>
  </w:style>
  <w:style w:type="table" w:default="1" w:styleId="6">
    <w:name w:val="Normal Table"/>
    <w:qFormat/>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8fd5133a-40a9-4904-ab07-90df5c86b58d</errorID>
      <errorWord>，</errorWord>
      <group>L1_Word</group>
      <groupName>字词问题</groupName>
      <ability>L2_Typo</ability>
      <abilityName>字词错误</abilityName>
      <candidateList>
        <item>，是</item>
      </candidateList>
      <explain/>
      <paraID>5231DABF</paraID>
      <start>22</start>
      <end>23</end>
      <status>ignored</status>
      <modifiedWord/>
      <trackRevisions>false</trackRevisions>
    </reviewItem>
    <reviewItem>
      <errorID>fdcc85ea-679e-4ceb-96c8-e0150209949a</errorID>
      <errorWord>:</errorWord>
      <group>L1_Format</group>
      <groupName>格式问题</groupName>
      <ability>L2_HalfPunc_CN</ability>
      <abilityName>全半角问题</abilityName>
      <candidateList>
        <item>：</item>
      </candidateList>
      <explain>文本全半角错误。</explain>
      <paraID>69FF3A6A</paraID>
      <start>32</start>
      <end>33</end>
      <status>ignored</status>
      <modifiedWord/>
      <trackRevisions>false</trackRevisions>
    </reviewItem>
    <reviewItem>
      <errorID>8c2b6a00-1631-4df9-95bb-d84076b95520</errorID>
      <errorWord>关</errorWord>
      <group>L1_Word</group>
      <groupName>字词问题</groupName>
      <ability>L2_Typo</ability>
      <abilityName>字词错误</abilityName>
      <candidateList>
        <item>关的</item>
      </candidateList>
      <explain/>
      <paraID>39A18373</paraID>
      <start>11</start>
      <end>12</end>
      <status>ignored</status>
      <modifiedWord/>
      <trackRevisions>false</trackRevisions>
    </reviewItem>
    <reviewItem>
      <errorID>edfcd5a9-50e8-42bf-9e3c-14e35db00647</errorID>
      <errorWord>账账</errorWord>
      <group>L1_Word</group>
      <groupName>字词问题</groupName>
      <ability>L2_Typo</ability>
      <abilityName>字词错误</abilityName>
      <candidateList>
        <item>账</item>
      </candidateList>
      <explain>（賬）zhànɡ〈名〉❶关于货币、货物出入的记载：记～｜查～。❷指账簿：一本～。❸债：欠～｜还～｜放～。</explain>
      <paraID>61E15CEB</paraID>
      <start>95</start>
      <end>97</end>
      <status>ignored</status>
      <modifiedWord/>
      <trackRevisions>false</trackRevisions>
    </reviewItem>
    <reviewItem>
      <errorID>0cbda424-a327-43e9-995c-3c68f183ab89</errorID>
      <errorWord>选</errorWord>
      <group>L1_Word</group>
      <groupName>字词问题</groupName>
      <ability>L2_Typo</ability>
      <abilityName>字词错误</abilityName>
      <candidateList>
        <item>选择</item>
      </candidateList>
      <explain>〈动〉挑选：～对象｜～地点。</explain>
      <paraID>3DEEC9FF</paraID>
      <start>72</start>
      <end>73</end>
      <status>ignored</status>
      <modifiedWord/>
      <trackRevisions>false</trackRevisions>
    </reviewItem>
    <reviewItem>
      <errorID>472f1ce6-5b06-43b2-9c6c-6b2475c1f6ad</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6C066E51</paraID>
      <start>23</start>
      <end>25</end>
      <status>ignored</status>
      <modifiedWord/>
      <trackRevisions>false</trackRevisions>
    </reviewItem>
    <reviewItem>
      <errorID>7398ade7-a858-4185-8683-fe2ed157b2c8</errorID>
      <errorWord>，</errorWord>
      <group>L1_Word</group>
      <groupName>字词问题</groupName>
      <ability>L2_Typo</ability>
      <abilityName>字词错误</abilityName>
      <candidateList>
        <item>，在</item>
      </candidateList>
      <explain/>
      <paraID>68F5A98A</paraID>
      <start>36</start>
      <end>37</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775b4c-d9cb-4f3f-99dd-e5b3d0b28f2f}">
  <ds:schemaRefs/>
</ds:datastoreItem>
</file>

<file path=docProps/app.xml><?xml version="1.0" encoding="utf-8"?>
<Properties xmlns="http://schemas.openxmlformats.org/officeDocument/2006/extended-properties" xmlns:vt="http://schemas.openxmlformats.org/officeDocument/2006/docPropsVTypes">
  <Template>Normal.dotm</Template>
  <Pages>33</Pages>
  <Words>14788</Words>
  <Characters>15312</Characters>
  <Paragraphs>210</Paragraphs>
  <TotalTime>19</TotalTime>
  <ScaleCrop>false</ScaleCrop>
  <LinksUpToDate>false</LinksUpToDate>
  <CharactersWithSpaces>15321</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2026-07-16T10:41:00Z</dcterms:created>
  <dc:creator>于小祺</dc:creator>
  <cp:lastModifiedBy>Administrator</cp:lastModifiedBy>
  <cp:lastPrinted>2026-08-17T00:32:00Z</cp:lastPrinted>
  <dcterms:modified xsi:type="dcterms:W3CDTF">2026-09-07T08:56:10Z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y fmtid="{D5CDD505-2E9C-101B-9397-08002B2CF9AE}" pid="3" name="ICV">
    <vt:lpwstr>0D89EC9BAEBB441D86E5F2ABE0F2169C_13</vt:lpwstr>
  </property>
  <property fmtid="{D5CDD505-2E9C-101B-9397-08002B2CF9AE}" pid="4" name="KSOTemplateDocerSaveRecord">
    <vt:lpwstr>eyJoZGlkIjoiMGNiY2MyYjFlYWE0ZTE3ZjRhNGI5MjdlMzM4ZDMyZGYiLCJ1c2VySWQiOiIyODM0MTE0NzYifQ==</vt:lpwstr>
  </property>
</Properties>
</file>