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B1" w:rsidRPr="001C4735" w:rsidRDefault="008062B1" w:rsidP="008062B1">
      <w:pPr>
        <w:rPr>
          <w:rFonts w:ascii="方正黑体简体" w:eastAsia="方正黑体简体" w:hAnsi="仿宋" w:cs="仿宋" w:hint="eastAsia"/>
          <w:color w:val="000000"/>
          <w:sz w:val="32"/>
          <w:szCs w:val="32"/>
        </w:rPr>
      </w:pPr>
      <w:r w:rsidRPr="001C4735">
        <w:rPr>
          <w:rFonts w:ascii="方正黑体简体" w:eastAsia="方正黑体简体" w:hAnsi="仿宋" w:cs="仿宋" w:hint="eastAsia"/>
          <w:color w:val="000000"/>
          <w:sz w:val="32"/>
          <w:szCs w:val="32"/>
        </w:rPr>
        <w:t>附件</w:t>
      </w:r>
    </w:p>
    <w:p w:rsidR="008062B1" w:rsidRPr="001C4735" w:rsidRDefault="008062B1" w:rsidP="008062B1">
      <w:pPr>
        <w:widowControl/>
        <w:jc w:val="center"/>
        <w:rPr>
          <w:rFonts w:ascii="方正小标宋简体" w:eastAsia="方正小标宋简体" w:hAnsi="宋体" w:cs="宋体" w:hint="eastAsia"/>
          <w:color w:val="000000"/>
          <w:kern w:val="0"/>
          <w:sz w:val="44"/>
          <w:szCs w:val="44"/>
        </w:rPr>
      </w:pPr>
      <w:r w:rsidRPr="001C4735">
        <w:rPr>
          <w:rFonts w:ascii="方正小标宋简体" w:eastAsia="方正小标宋简体" w:hAnsi="宋体" w:cs="宋体" w:hint="eastAsia"/>
          <w:color w:val="000000"/>
          <w:kern w:val="0"/>
          <w:sz w:val="44"/>
          <w:szCs w:val="44"/>
        </w:rPr>
        <w:t>四平市土地管理及不动产登记收费项目情况表</w:t>
      </w:r>
    </w:p>
    <w:p w:rsidR="008062B1" w:rsidRDefault="008062B1" w:rsidP="008062B1">
      <w:pPr>
        <w:widowControl/>
        <w:spacing w:line="400" w:lineRule="exact"/>
        <w:jc w:val="center"/>
        <w:rPr>
          <w:rFonts w:ascii="仿宋" w:eastAsia="仿宋" w:hAnsi="仿宋" w:cs="仿宋" w:hint="eastAsia"/>
          <w:color w:val="000000"/>
          <w:kern w:val="0"/>
          <w:sz w:val="44"/>
          <w:szCs w:val="44"/>
        </w:rPr>
      </w:pPr>
    </w:p>
    <w:tbl>
      <w:tblPr>
        <w:tblW w:w="9861"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4112"/>
        <w:gridCol w:w="3433"/>
        <w:gridCol w:w="899"/>
      </w:tblGrid>
      <w:tr w:rsidR="008062B1" w:rsidRPr="00A8712F" w:rsidTr="003B787E">
        <w:trPr>
          <w:cantSplit/>
          <w:trHeight w:val="558"/>
          <w:jc w:val="center"/>
        </w:trPr>
        <w:tc>
          <w:tcPr>
            <w:tcW w:w="1417" w:type="dxa"/>
            <w:vAlign w:val="center"/>
          </w:tcPr>
          <w:p w:rsidR="008062B1" w:rsidRPr="00A8712F" w:rsidRDefault="008062B1" w:rsidP="003B787E">
            <w:pPr>
              <w:spacing w:line="340" w:lineRule="exact"/>
              <w:jc w:val="center"/>
              <w:rPr>
                <w:rFonts w:ascii="方正黑体简体" w:eastAsia="方正黑体简体" w:hAnsi="宋体" w:cs="仿宋" w:hint="eastAsia"/>
                <w:color w:val="000000"/>
                <w:sz w:val="30"/>
                <w:szCs w:val="30"/>
                <w:shd w:val="clear" w:color="auto" w:fill="FFFFFF"/>
              </w:rPr>
            </w:pPr>
            <w:r w:rsidRPr="00A8712F">
              <w:rPr>
                <w:rFonts w:ascii="方正黑体简体" w:eastAsia="方正黑体简体" w:hAnsi="宋体" w:cs="仿宋" w:hint="eastAsia"/>
                <w:color w:val="000000"/>
                <w:sz w:val="30"/>
                <w:szCs w:val="30"/>
                <w:shd w:val="clear" w:color="auto" w:fill="FFFFFF"/>
              </w:rPr>
              <w:t>项目名称</w:t>
            </w:r>
          </w:p>
        </w:tc>
        <w:tc>
          <w:tcPr>
            <w:tcW w:w="4112" w:type="dxa"/>
            <w:vAlign w:val="center"/>
          </w:tcPr>
          <w:p w:rsidR="008062B1" w:rsidRPr="00A8712F" w:rsidRDefault="008062B1" w:rsidP="003B787E">
            <w:pPr>
              <w:spacing w:line="340" w:lineRule="exact"/>
              <w:jc w:val="center"/>
              <w:rPr>
                <w:rFonts w:ascii="方正黑体简体" w:eastAsia="方正黑体简体" w:hAnsi="宋体" w:cs="仿宋" w:hint="eastAsia"/>
                <w:color w:val="000000"/>
                <w:sz w:val="30"/>
                <w:szCs w:val="30"/>
                <w:shd w:val="clear" w:color="auto" w:fill="FFFFFF"/>
              </w:rPr>
            </w:pPr>
            <w:r w:rsidRPr="00A8712F">
              <w:rPr>
                <w:rFonts w:ascii="方正黑体简体" w:eastAsia="方正黑体简体" w:hAnsi="宋体" w:cs="仿宋" w:hint="eastAsia"/>
                <w:color w:val="000000"/>
                <w:sz w:val="30"/>
                <w:szCs w:val="30"/>
                <w:shd w:val="clear" w:color="auto" w:fill="FFFFFF"/>
              </w:rPr>
              <w:t>依  据</w:t>
            </w:r>
          </w:p>
        </w:tc>
        <w:tc>
          <w:tcPr>
            <w:tcW w:w="3433" w:type="dxa"/>
            <w:vAlign w:val="center"/>
          </w:tcPr>
          <w:p w:rsidR="008062B1" w:rsidRPr="00A8712F" w:rsidRDefault="008062B1" w:rsidP="003B787E">
            <w:pPr>
              <w:spacing w:line="340" w:lineRule="exact"/>
              <w:jc w:val="center"/>
              <w:rPr>
                <w:rFonts w:ascii="方正黑体简体" w:eastAsia="方正黑体简体" w:hAnsi="宋体" w:cs="仿宋" w:hint="eastAsia"/>
                <w:color w:val="000000"/>
                <w:sz w:val="30"/>
                <w:szCs w:val="30"/>
                <w:shd w:val="clear" w:color="auto" w:fill="FFFFFF"/>
              </w:rPr>
            </w:pPr>
            <w:r w:rsidRPr="00A8712F">
              <w:rPr>
                <w:rFonts w:ascii="方正黑体简体" w:eastAsia="方正黑体简体" w:hAnsi="宋体" w:cs="仿宋" w:hint="eastAsia"/>
                <w:color w:val="000000"/>
                <w:sz w:val="30"/>
                <w:szCs w:val="30"/>
                <w:shd w:val="clear" w:color="auto" w:fill="FFFFFF"/>
              </w:rPr>
              <w:t>征收标准</w:t>
            </w:r>
          </w:p>
        </w:tc>
        <w:tc>
          <w:tcPr>
            <w:tcW w:w="899" w:type="dxa"/>
            <w:vAlign w:val="center"/>
          </w:tcPr>
          <w:p w:rsidR="008062B1" w:rsidRPr="00A8712F" w:rsidRDefault="008062B1" w:rsidP="003B787E">
            <w:pPr>
              <w:jc w:val="center"/>
              <w:rPr>
                <w:rFonts w:ascii="方正黑体简体" w:eastAsia="方正黑体简体" w:hAnsi="宋体" w:cs="仿宋" w:hint="eastAsia"/>
                <w:color w:val="000000"/>
                <w:sz w:val="30"/>
                <w:szCs w:val="30"/>
                <w:shd w:val="clear" w:color="auto" w:fill="FFFFFF"/>
              </w:rPr>
            </w:pPr>
            <w:r w:rsidRPr="00A8712F">
              <w:rPr>
                <w:rFonts w:ascii="方正黑体简体" w:eastAsia="方正黑体简体" w:hAnsi="宋体" w:cs="仿宋" w:hint="eastAsia"/>
                <w:color w:val="000000"/>
                <w:sz w:val="30"/>
                <w:szCs w:val="30"/>
                <w:shd w:val="clear" w:color="auto" w:fill="FFFFFF"/>
              </w:rPr>
              <w:t>备注</w:t>
            </w:r>
          </w:p>
        </w:tc>
      </w:tr>
      <w:tr w:rsidR="008062B1" w:rsidRPr="007072F1" w:rsidTr="003B787E">
        <w:trPr>
          <w:cantSplit/>
          <w:trHeight w:val="2127"/>
          <w:jc w:val="center"/>
        </w:trPr>
        <w:tc>
          <w:tcPr>
            <w:tcW w:w="1417" w:type="dxa"/>
            <w:vAlign w:val="center"/>
          </w:tcPr>
          <w:p w:rsidR="008062B1" w:rsidRPr="007072F1" w:rsidRDefault="008062B1" w:rsidP="003B787E">
            <w:pPr>
              <w:spacing w:line="340" w:lineRule="exact"/>
              <w:jc w:val="center"/>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不动产</w:t>
            </w:r>
          </w:p>
          <w:p w:rsidR="008062B1" w:rsidRPr="007072F1" w:rsidRDefault="008062B1" w:rsidP="003B787E">
            <w:pPr>
              <w:spacing w:line="340" w:lineRule="exact"/>
              <w:jc w:val="center"/>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登记费</w:t>
            </w:r>
          </w:p>
        </w:tc>
        <w:tc>
          <w:tcPr>
            <w:tcW w:w="4112"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《关于不动产登记收费有关政策问题的通知》（财税〔2016〕79号）；《关于不动产登记收费标准等有关问题的通知》（发改价格规〔2016〕2559号）。</w:t>
            </w:r>
          </w:p>
        </w:tc>
        <w:tc>
          <w:tcPr>
            <w:tcW w:w="3433"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住宅类不动产登记收费每件80元；非住宅类不动产登记收费每件550元。</w:t>
            </w:r>
          </w:p>
        </w:tc>
        <w:tc>
          <w:tcPr>
            <w:tcW w:w="899" w:type="dxa"/>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p>
        </w:tc>
      </w:tr>
      <w:tr w:rsidR="008062B1" w:rsidRPr="007072F1" w:rsidTr="003B787E">
        <w:trPr>
          <w:cantSplit/>
          <w:trHeight w:val="1970"/>
          <w:jc w:val="center"/>
        </w:trPr>
        <w:tc>
          <w:tcPr>
            <w:tcW w:w="1417"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新菜田开发建设基金</w:t>
            </w:r>
          </w:p>
        </w:tc>
        <w:tc>
          <w:tcPr>
            <w:tcW w:w="4112"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《土地管理法》第四十七条；《吉林省土地管理条例》第二十七条；《关于取消、停征和整合部分政府性基金项目等有关问题的通知》（财税〔2016〕11号）。</w:t>
            </w:r>
          </w:p>
        </w:tc>
        <w:tc>
          <w:tcPr>
            <w:tcW w:w="3433"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将新菜田开发建设基金征收标准降为零。</w:t>
            </w:r>
          </w:p>
        </w:tc>
        <w:tc>
          <w:tcPr>
            <w:tcW w:w="899" w:type="dxa"/>
            <w:vAlign w:val="center"/>
          </w:tcPr>
          <w:p w:rsidR="008062B1" w:rsidRPr="007072F1" w:rsidRDefault="008062B1" w:rsidP="003B787E">
            <w:pPr>
              <w:spacing w:line="340" w:lineRule="exact"/>
              <w:rPr>
                <w:rFonts w:ascii="方正仿宋简体" w:eastAsia="方正仿宋简体" w:hAnsi="仿宋" w:cs="仿宋" w:hint="eastAsia"/>
                <w:color w:val="000000"/>
                <w:kern w:val="0"/>
                <w:sz w:val="30"/>
                <w:szCs w:val="30"/>
                <w:shd w:val="clear" w:color="auto" w:fill="FFFFFF"/>
              </w:rPr>
            </w:pPr>
          </w:p>
        </w:tc>
      </w:tr>
      <w:tr w:rsidR="008062B1" w:rsidRPr="007072F1" w:rsidTr="003B787E">
        <w:trPr>
          <w:cantSplit/>
          <w:trHeight w:val="3758"/>
          <w:jc w:val="center"/>
        </w:trPr>
        <w:tc>
          <w:tcPr>
            <w:tcW w:w="1417" w:type="dxa"/>
            <w:vAlign w:val="center"/>
          </w:tcPr>
          <w:p w:rsidR="008062B1" w:rsidRPr="007072F1" w:rsidRDefault="008062B1" w:rsidP="003B787E">
            <w:pPr>
              <w:spacing w:line="340" w:lineRule="exact"/>
              <w:jc w:val="center"/>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耕地</w:t>
            </w:r>
          </w:p>
          <w:p w:rsidR="008062B1" w:rsidRPr="007072F1" w:rsidRDefault="008062B1" w:rsidP="003B787E">
            <w:pPr>
              <w:spacing w:line="340" w:lineRule="exact"/>
              <w:jc w:val="center"/>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开垦费</w:t>
            </w:r>
          </w:p>
        </w:tc>
        <w:tc>
          <w:tcPr>
            <w:tcW w:w="4112"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土地管理法》第三十一条；《吉林省土地管理条例》第十六条；《吉林省基本农田保护条例》第十一条；《关于印发非农业建设占用耕地造地费、闲置费的具体征收及使用管理办法的通知》（吉土联字〔1998〕1号）；《关于降低部分涉企行政事业性收费标准的通知》（吉省价收字〔2016〕99号）。</w:t>
            </w:r>
          </w:p>
        </w:tc>
        <w:tc>
          <w:tcPr>
            <w:tcW w:w="3433"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该地被占用前三年平均年产值计算：基本农田10倍；一般耕地3倍。</w:t>
            </w:r>
          </w:p>
        </w:tc>
        <w:tc>
          <w:tcPr>
            <w:tcW w:w="899" w:type="dxa"/>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p>
        </w:tc>
      </w:tr>
      <w:tr w:rsidR="008062B1" w:rsidRPr="007072F1" w:rsidTr="003B787E">
        <w:trPr>
          <w:cantSplit/>
          <w:trHeight w:val="3385"/>
          <w:jc w:val="center"/>
        </w:trPr>
        <w:tc>
          <w:tcPr>
            <w:tcW w:w="1417" w:type="dxa"/>
            <w:vAlign w:val="center"/>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lastRenderedPageBreak/>
              <w:t>闲置费</w:t>
            </w:r>
          </w:p>
        </w:tc>
        <w:tc>
          <w:tcPr>
            <w:tcW w:w="4112" w:type="dxa"/>
          </w:tcPr>
          <w:p w:rsidR="008062B1" w:rsidRPr="007072F1" w:rsidRDefault="008062B1" w:rsidP="003B787E">
            <w:pPr>
              <w:widowControl/>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土地管理法》第三十七条；《吉林省基本农田保护条例》第十四条；《关于印发非农业建设占用耕地造地费、闲置费的具体征收及使用管理办法的通知》（吉土联字〔1998〕1号）；《关于降低部分涉企行政事业性收费标准的通知》（吉省价收字〔2016〕99号）。</w:t>
            </w:r>
          </w:p>
        </w:tc>
        <w:tc>
          <w:tcPr>
            <w:tcW w:w="3433" w:type="dxa"/>
            <w:vAlign w:val="center"/>
          </w:tcPr>
          <w:p w:rsidR="008062B1" w:rsidRPr="007072F1" w:rsidRDefault="008062B1" w:rsidP="003B787E">
            <w:pPr>
              <w:widowControl/>
              <w:spacing w:line="340" w:lineRule="exact"/>
              <w:jc w:val="center"/>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sz w:val="30"/>
                <w:szCs w:val="30"/>
                <w:shd w:val="clear" w:color="auto" w:fill="FFFFFF"/>
              </w:rPr>
              <w:t>按该地被占用前三年平均年产值的2倍征收。</w:t>
            </w:r>
          </w:p>
        </w:tc>
        <w:tc>
          <w:tcPr>
            <w:tcW w:w="899" w:type="dxa"/>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p>
          <w:p w:rsidR="008062B1" w:rsidRPr="007072F1" w:rsidRDefault="008062B1" w:rsidP="003B787E">
            <w:pPr>
              <w:spacing w:line="260" w:lineRule="exact"/>
              <w:rPr>
                <w:rFonts w:ascii="方正仿宋简体" w:eastAsia="方正仿宋简体" w:hAnsi="仿宋" w:cs="仿宋" w:hint="eastAsia"/>
                <w:color w:val="000000"/>
                <w:sz w:val="30"/>
                <w:szCs w:val="30"/>
                <w:shd w:val="clear" w:color="auto" w:fill="FFFFFF"/>
              </w:rPr>
            </w:pPr>
          </w:p>
        </w:tc>
      </w:tr>
      <w:tr w:rsidR="008062B1" w:rsidRPr="007072F1" w:rsidTr="003B787E">
        <w:trPr>
          <w:cantSplit/>
          <w:trHeight w:val="2575"/>
          <w:jc w:val="center"/>
        </w:trPr>
        <w:tc>
          <w:tcPr>
            <w:tcW w:w="1417" w:type="dxa"/>
            <w:vAlign w:val="center"/>
          </w:tcPr>
          <w:p w:rsidR="008062B1" w:rsidRPr="007072F1" w:rsidRDefault="008062B1" w:rsidP="003B787E">
            <w:pPr>
              <w:spacing w:line="340" w:lineRule="exact"/>
              <w:jc w:val="center"/>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土地</w:t>
            </w:r>
          </w:p>
          <w:p w:rsidR="008062B1" w:rsidRPr="007072F1" w:rsidRDefault="008062B1" w:rsidP="003B787E">
            <w:pPr>
              <w:spacing w:line="340" w:lineRule="exact"/>
              <w:jc w:val="center"/>
              <w:rPr>
                <w:rFonts w:ascii="方正仿宋简体" w:eastAsia="方正仿宋简体" w:hAnsi="黑体" w:cs="黑体"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复垦费</w:t>
            </w:r>
          </w:p>
        </w:tc>
        <w:tc>
          <w:tcPr>
            <w:tcW w:w="4112" w:type="dxa"/>
            <w:vAlign w:val="center"/>
          </w:tcPr>
          <w:p w:rsidR="008062B1" w:rsidRPr="007072F1" w:rsidRDefault="008062B1" w:rsidP="003B787E">
            <w:pPr>
              <w:widowControl/>
              <w:spacing w:line="340" w:lineRule="exact"/>
              <w:rPr>
                <w:rFonts w:ascii="方正仿宋简体" w:eastAsia="方正仿宋简体" w:hAnsi="黑体" w:cs="黑体"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《土地管理法》第四十二条；</w:t>
            </w:r>
            <w:r w:rsidRPr="007072F1">
              <w:rPr>
                <w:rFonts w:ascii="方正仿宋简体" w:eastAsia="方正仿宋简体" w:hAnsi="仿宋_GB2312" w:cs="仿宋_GB2312" w:hint="eastAsia"/>
                <w:sz w:val="30"/>
                <w:szCs w:val="30"/>
              </w:rPr>
              <w:t>《土地复垦条例》；《土地复垦条例实施办法》；《关于减免养老和医疗机构行政事业性收费有关问题的通知》（</w:t>
            </w:r>
            <w:r w:rsidRPr="007072F1">
              <w:rPr>
                <w:rFonts w:ascii="方正仿宋简体" w:eastAsia="方正仿宋简体" w:hAnsi="仿宋" w:cs="仿宋" w:hint="eastAsia"/>
                <w:color w:val="000000"/>
                <w:kern w:val="0"/>
                <w:sz w:val="30"/>
                <w:szCs w:val="30"/>
                <w:shd w:val="clear" w:color="auto" w:fill="FFFFFF"/>
              </w:rPr>
              <w:t>财税〔2014〕77号）。</w:t>
            </w:r>
          </w:p>
        </w:tc>
        <w:tc>
          <w:tcPr>
            <w:tcW w:w="3433" w:type="dxa"/>
            <w:vAlign w:val="center"/>
          </w:tcPr>
          <w:p w:rsidR="008062B1" w:rsidRPr="007072F1" w:rsidRDefault="008062B1" w:rsidP="003B787E">
            <w:pPr>
              <w:spacing w:line="340" w:lineRule="exact"/>
              <w:rPr>
                <w:rFonts w:ascii="方正仿宋简体" w:eastAsia="方正仿宋简体" w:hAnsi="黑体" w:cs="黑体" w:hint="eastAsia"/>
                <w:color w:val="000000"/>
                <w:kern w:val="0"/>
                <w:sz w:val="30"/>
                <w:szCs w:val="30"/>
                <w:shd w:val="clear" w:color="auto" w:fill="FFFFFF"/>
              </w:rPr>
            </w:pPr>
            <w:r w:rsidRPr="007072F1">
              <w:rPr>
                <w:rFonts w:ascii="方正仿宋简体" w:eastAsia="方正仿宋简体" w:hAnsi="仿宋_GB2312" w:cs="仿宋_GB2312" w:hint="eastAsia"/>
                <w:sz w:val="30"/>
                <w:szCs w:val="30"/>
              </w:rPr>
              <w:t>按照土地复垦方案确定资金数额（对非营利性养老和医疗机构建设全额免征，对营利性养老和医疗机构建设减半收取）。</w:t>
            </w:r>
          </w:p>
        </w:tc>
        <w:tc>
          <w:tcPr>
            <w:tcW w:w="899" w:type="dxa"/>
          </w:tcPr>
          <w:p w:rsidR="008062B1" w:rsidRPr="007072F1" w:rsidRDefault="008062B1" w:rsidP="003B787E">
            <w:pPr>
              <w:spacing w:line="340" w:lineRule="exact"/>
              <w:rPr>
                <w:rFonts w:ascii="方正仿宋简体" w:eastAsia="方正仿宋简体" w:hAnsi="仿宋" w:cs="仿宋" w:hint="eastAsia"/>
                <w:color w:val="000000"/>
                <w:sz w:val="30"/>
                <w:szCs w:val="30"/>
                <w:shd w:val="clear" w:color="auto" w:fill="FFFFFF"/>
              </w:rPr>
            </w:pPr>
          </w:p>
        </w:tc>
      </w:tr>
      <w:tr w:rsidR="008062B1" w:rsidRPr="007072F1" w:rsidTr="003B787E">
        <w:trPr>
          <w:cantSplit/>
          <w:trHeight w:val="6035"/>
          <w:jc w:val="center"/>
        </w:trPr>
        <w:tc>
          <w:tcPr>
            <w:tcW w:w="1417" w:type="dxa"/>
            <w:vAlign w:val="center"/>
          </w:tcPr>
          <w:p w:rsidR="008062B1" w:rsidRPr="007072F1" w:rsidRDefault="008062B1" w:rsidP="003B787E">
            <w:pPr>
              <w:spacing w:line="340" w:lineRule="exact"/>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新增建设用地土地有偿使用费</w:t>
            </w:r>
          </w:p>
        </w:tc>
        <w:tc>
          <w:tcPr>
            <w:tcW w:w="4112" w:type="dxa"/>
            <w:vAlign w:val="center"/>
          </w:tcPr>
          <w:p w:rsidR="008062B1" w:rsidRPr="007072F1" w:rsidRDefault="008062B1" w:rsidP="003B787E">
            <w:pPr>
              <w:widowControl/>
              <w:spacing w:line="340" w:lineRule="exact"/>
              <w:rPr>
                <w:rFonts w:ascii="方正仿宋简体" w:eastAsia="方正仿宋简体" w:hAnsi="仿宋" w:cs="仿宋" w:hint="eastAsia"/>
                <w:color w:val="000000"/>
                <w:kern w:val="0"/>
                <w:sz w:val="30"/>
                <w:szCs w:val="30"/>
                <w:shd w:val="clear" w:color="auto" w:fill="FFFFFF"/>
              </w:rPr>
            </w:pPr>
            <w:r>
              <w:rPr>
                <w:rFonts w:ascii="方正仿宋简体" w:eastAsia="方正仿宋简体" w:hAnsi="仿宋" w:cs="仿宋" w:hint="eastAsia"/>
                <w:color w:val="000000"/>
                <w:kern w:val="0"/>
                <w:sz w:val="30"/>
                <w:szCs w:val="30"/>
                <w:shd w:val="clear" w:color="auto" w:fill="FFFFFF"/>
              </w:rPr>
              <w:t xml:space="preserve">《土地管理法》第五十五条；《财政部 国土资源部 </w:t>
            </w:r>
            <w:r w:rsidRPr="007072F1">
              <w:rPr>
                <w:rFonts w:ascii="方正仿宋简体" w:eastAsia="方正仿宋简体" w:hAnsi="仿宋" w:cs="仿宋" w:hint="eastAsia"/>
                <w:color w:val="000000"/>
                <w:kern w:val="0"/>
                <w:sz w:val="30"/>
                <w:szCs w:val="30"/>
                <w:shd w:val="clear" w:color="auto" w:fill="FFFFFF"/>
              </w:rPr>
              <w:t>中国人民银行关于调整新增建设用地土地有偿使用费政策等问题的通知》（财综〔2006〕48号）。</w:t>
            </w:r>
          </w:p>
        </w:tc>
        <w:tc>
          <w:tcPr>
            <w:tcW w:w="3433" w:type="dxa"/>
            <w:vAlign w:val="center"/>
          </w:tcPr>
          <w:p w:rsidR="008062B1" w:rsidRPr="007072F1" w:rsidRDefault="008062B1" w:rsidP="003B787E">
            <w:pPr>
              <w:spacing w:line="340" w:lineRule="exact"/>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按照全国城市土地分等和城镇土地级别、基准地价水平、各地区耕地总量和人均耕地状况、社会经济发展水平等情况制定，由国务院财政部门和国土资源行政主管部门联合发布，并定期调整公布。四平市区（铁东区、铁西区、</w:t>
            </w:r>
            <w:r w:rsidRPr="007072F1">
              <w:rPr>
                <w:rFonts w:ascii="方正仿宋简体" w:eastAsia="方正仿宋简体" w:hAnsi="仿宋" w:cs="仿宋" w:hint="eastAsia"/>
                <w:color w:val="000000"/>
                <w:sz w:val="30"/>
                <w:szCs w:val="30"/>
                <w:shd w:val="clear" w:color="auto" w:fill="FFFFFF"/>
              </w:rPr>
              <w:t>四平红嘴经济技术开发区和四平经济开发区</w:t>
            </w:r>
            <w:r w:rsidRPr="007072F1">
              <w:rPr>
                <w:rFonts w:ascii="方正仿宋简体" w:eastAsia="方正仿宋简体" w:hAnsi="仿宋" w:cs="仿宋" w:hint="eastAsia"/>
                <w:color w:val="000000"/>
                <w:kern w:val="0"/>
                <w:sz w:val="30"/>
                <w:szCs w:val="30"/>
                <w:shd w:val="clear" w:color="auto" w:fill="FFFFFF"/>
              </w:rPr>
              <w:t>）新增建设用地土地有偿使用费征收等别为8等，缴纳标准为42元/平方米。</w:t>
            </w:r>
          </w:p>
        </w:tc>
        <w:tc>
          <w:tcPr>
            <w:tcW w:w="899" w:type="dxa"/>
            <w:vAlign w:val="center"/>
          </w:tcPr>
          <w:p w:rsidR="008062B1" w:rsidRPr="007072F1" w:rsidRDefault="008062B1" w:rsidP="003B787E">
            <w:pPr>
              <w:widowControl/>
              <w:spacing w:line="340" w:lineRule="exact"/>
              <w:rPr>
                <w:rFonts w:ascii="方正仿宋简体" w:eastAsia="方正仿宋简体" w:hAnsi="仿宋" w:cs="仿宋" w:hint="eastAsia"/>
                <w:color w:val="00000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国家和省收</w:t>
            </w:r>
          </w:p>
        </w:tc>
      </w:tr>
      <w:tr w:rsidR="008062B1" w:rsidRPr="007072F1" w:rsidTr="003B787E">
        <w:trPr>
          <w:cantSplit/>
          <w:trHeight w:val="4094"/>
          <w:jc w:val="center"/>
        </w:trPr>
        <w:tc>
          <w:tcPr>
            <w:tcW w:w="1417" w:type="dxa"/>
            <w:vAlign w:val="center"/>
          </w:tcPr>
          <w:p w:rsidR="008062B1" w:rsidRPr="007072F1" w:rsidRDefault="008062B1" w:rsidP="003B787E">
            <w:pPr>
              <w:spacing w:line="400" w:lineRule="exact"/>
              <w:jc w:val="center"/>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lastRenderedPageBreak/>
              <w:t>防洪</w:t>
            </w:r>
          </w:p>
          <w:p w:rsidR="008062B1" w:rsidRPr="007072F1" w:rsidRDefault="008062B1" w:rsidP="003B787E">
            <w:pPr>
              <w:spacing w:line="400" w:lineRule="exact"/>
              <w:jc w:val="center"/>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资金</w:t>
            </w:r>
          </w:p>
        </w:tc>
        <w:tc>
          <w:tcPr>
            <w:tcW w:w="4112" w:type="dxa"/>
            <w:vAlign w:val="center"/>
          </w:tcPr>
          <w:p w:rsidR="008062B1" w:rsidRPr="007072F1" w:rsidRDefault="008062B1" w:rsidP="003B787E">
            <w:pPr>
              <w:spacing w:line="400" w:lineRule="exact"/>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《吉林省防洪基础设施建设资金征收使用办法》（</w:t>
            </w:r>
            <w:r w:rsidRPr="007072F1">
              <w:rPr>
                <w:rFonts w:ascii="方正仿宋简体" w:eastAsia="方正仿宋简体" w:hAnsi="仿宋" w:cs="仿宋" w:hint="eastAsia"/>
                <w:color w:val="000000"/>
                <w:spacing w:val="-14"/>
                <w:kern w:val="0"/>
                <w:sz w:val="30"/>
                <w:szCs w:val="30"/>
                <w:shd w:val="clear" w:color="auto" w:fill="FFFFFF"/>
              </w:rPr>
              <w:t>吉林省人民政府令第105号</w:t>
            </w:r>
            <w:r w:rsidRPr="007072F1">
              <w:rPr>
                <w:rFonts w:ascii="方正仿宋简体" w:eastAsia="方正仿宋简体" w:hAnsi="仿宋" w:cs="仿宋" w:hint="eastAsia"/>
                <w:color w:val="000000"/>
                <w:kern w:val="0"/>
                <w:sz w:val="30"/>
                <w:szCs w:val="30"/>
                <w:shd w:val="clear" w:color="auto" w:fill="FFFFFF"/>
              </w:rPr>
              <w:t>）。</w:t>
            </w:r>
          </w:p>
        </w:tc>
        <w:tc>
          <w:tcPr>
            <w:tcW w:w="3433" w:type="dxa"/>
            <w:vAlign w:val="center"/>
          </w:tcPr>
          <w:p w:rsidR="008062B1" w:rsidRPr="007072F1" w:rsidRDefault="008062B1" w:rsidP="003B787E">
            <w:pPr>
              <w:spacing w:line="400" w:lineRule="exact"/>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非农业建设征用土地的单位和个人，按征地面积，菜田每平方米1.80元、水田每平方米1.50元、其他土地每平方米1.20元计征。</w:t>
            </w:r>
          </w:p>
        </w:tc>
        <w:tc>
          <w:tcPr>
            <w:tcW w:w="899" w:type="dxa"/>
            <w:vAlign w:val="center"/>
          </w:tcPr>
          <w:p w:rsidR="008062B1" w:rsidRPr="007072F1" w:rsidRDefault="008062B1" w:rsidP="003B787E">
            <w:pPr>
              <w:spacing w:line="400" w:lineRule="exact"/>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国土部门</w:t>
            </w:r>
          </w:p>
          <w:p w:rsidR="008062B1" w:rsidRPr="007072F1" w:rsidRDefault="008062B1" w:rsidP="003B787E">
            <w:pPr>
              <w:spacing w:line="400" w:lineRule="exact"/>
              <w:rPr>
                <w:rFonts w:ascii="方正仿宋简体" w:eastAsia="方正仿宋简体" w:hAnsi="仿宋" w:cs="仿宋" w:hint="eastAsia"/>
                <w:color w:val="000000"/>
                <w:kern w:val="0"/>
                <w:sz w:val="30"/>
                <w:szCs w:val="30"/>
                <w:shd w:val="clear" w:color="auto" w:fill="FFFFFF"/>
              </w:rPr>
            </w:pPr>
            <w:r w:rsidRPr="007072F1">
              <w:rPr>
                <w:rFonts w:ascii="方正仿宋简体" w:eastAsia="方正仿宋简体" w:hAnsi="仿宋" w:cs="仿宋" w:hint="eastAsia"/>
                <w:color w:val="000000"/>
                <w:kern w:val="0"/>
                <w:sz w:val="30"/>
                <w:szCs w:val="30"/>
                <w:shd w:val="clear" w:color="auto" w:fill="FFFFFF"/>
              </w:rPr>
              <w:t>代收</w:t>
            </w:r>
          </w:p>
        </w:tc>
      </w:tr>
    </w:tbl>
    <w:p w:rsidR="008062B1" w:rsidRDefault="008062B1" w:rsidP="008062B1">
      <w:pPr>
        <w:spacing w:line="400" w:lineRule="exact"/>
        <w:rPr>
          <w:rFonts w:ascii="仿宋" w:eastAsia="仿宋" w:hAnsi="仿宋" w:cs="仿宋" w:hint="eastAsia"/>
          <w:snapToGrid w:val="0"/>
          <w:color w:val="000000"/>
          <w:kern w:val="0"/>
          <w:sz w:val="28"/>
          <w:szCs w:val="28"/>
        </w:rPr>
      </w:pPr>
    </w:p>
    <w:p w:rsidR="008062B1" w:rsidRPr="001C4735" w:rsidRDefault="008062B1" w:rsidP="008062B1">
      <w:pPr>
        <w:spacing w:line="300" w:lineRule="exact"/>
        <w:ind w:firstLine="200"/>
        <w:rPr>
          <w:rFonts w:ascii="方正仿宋简体" w:eastAsia="方正仿宋简体" w:hAnsi="仿宋" w:cs="仿宋" w:hint="eastAsia"/>
          <w:color w:val="000000"/>
          <w:sz w:val="32"/>
          <w:szCs w:val="32"/>
        </w:rPr>
      </w:pPr>
    </w:p>
    <w:p w:rsidR="00B26F9B" w:rsidRDefault="00B26F9B"/>
    <w:sectPr w:rsidR="00B26F9B" w:rsidSect="00B26F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2B1"/>
    <w:rsid w:val="008062B1"/>
    <w:rsid w:val="00B26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2018-01-03T06:50:00Z</dcterms:created>
  <dcterms:modified xsi:type="dcterms:W3CDTF">2018-01-03T06:50:00Z</dcterms:modified>
</cp:coreProperties>
</file>